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tbl>
      <w:tblPr>
        <w:tblW w:w="9626" w:type="dxa"/>
        <w:tblBorders>
          <w:top w:val="nil"/>
          <w:left w:val="nil"/>
          <w:bottom w:val="nil"/>
          <w:right w:val="nil"/>
          <w:insideH w:val="nil"/>
          <w:insideV w:val="nil"/>
        </w:tblBorders>
      </w:tblPr>
      <w:tblGrid>
        <w:gridCol w:w="4813"/>
        <w:gridCol w:w="4813"/>
      </w:tblGrid>
      <w:tr>
        <w:tc>
          <w:tcPr>
            <w:tcW w:w="4813" w:type="dxa"/>
          </w:tcPr>
          <w:p>
            <w:pPr>
              <w:spacing w:before="0" w:after="0"/>
            </w:pPr>
            <w:r>
              <w:rPr>
                <w:b/>
              </w:rPr>
              <w:t xml:space="preserve">TO</w:t>
            </w:r>
            <w:r>
              <w:br/>
            </w:r>
            <w:r>
              <w:t xml:space="preserve">The Deputy Commissioner of Police</w:t>
            </w:r>
            <w:r>
              <w:br/>
            </w:r>
            <w:r>
              <w:t xml:space="preserve">Central Crime Station (CCS)</w:t>
            </w:r>
            <w:r>
              <w:br/>
            </w:r>
            <w:r>
              <w:t xml:space="preserve">Detective Department</w:t>
            </w:r>
            <w:r>
              <w:br/>
            </w:r>
            <w:r>
              <w:t xml:space="preserve">Hyderabad City Police</w:t>
            </w:r>
            <w:r>
              <w:br/>
            </w:r>
            <w:r>
              <w:t xml:space="preserve">Hyderabad, Telangana.</w:t>
            </w:r>
            <w:r>
              <w:br/>
            </w:r>
            <w:r>
              <w:rPr>
                <w:b/>
              </w:rPr>
              <w:t xml:space="preserve">Date: ___/10/2026</w:t>
            </w:r>
          </w:p>
        </w:tc>
        <w:tc>
          <w:tcPr>
            <w:tcW w:w="4813" w:type="dxa"/>
          </w:tcPr>
          <w:p>
            <w:pPr>
              <w:spacing w:before="0" w:after="0"/>
            </w:pPr>
            <w:r>
              <w:rPr>
                <w:b/>
              </w:rPr>
              <w:t xml:space="preserve">FROM</w:t>
            </w:r>
            <w:r>
              <w:br/>
            </w:r>
            <w:r>
              <w:t xml:space="preserve">Victims Rights Protection Trust (VRPT)</w:t>
            </w:r>
            <w:r>
              <w:br/>
            </w:r>
            <w:r>
              <w:t xml:space="preserve">Regd. No. 209/2025</w:t>
            </w:r>
            <w:r>
              <w:br/>
            </w:r>
            <w:r>
              <w:t xml:space="preserve">Represented by its Convenor / Authorised Representative</w:t>
            </w:r>
            <w:r>
              <w:br/>
            </w:r>
            <w:r>
              <w:rPr>
                <w:b/>
              </w:rPr>
              <w:t xml:space="preserve">Sri Giri Prasad Sarma Kalle</w:t>
            </w:r>
            <w:r>
              <w:br/>
            </w:r>
            <w:r>
              <w:t xml:space="preserve">Hyderabad, Telangana.</w:t>
            </w:r>
          </w:p>
        </w:tc>
      </w:tr>
    </w:tbl>
    <w:p>
      <w:pPr>
        <w:spacing w:before="0" w:after="120"/>
      </w:pPr>
    </w:p>
    <w:p>
      <w:pPr>
        <w:jc w:val="both"/>
        <w:spacing w:before="0" w:after="120"/>
      </w:pPr>
      <w:r>
        <w:t xml:space="preserve">Acting on behalf of and as representative/custodian of complaints, documents and claims presently furnished by approximately 1,198 investor-victims, without prejudice to further victims and additional evidence that may emerge during investigation.</w:t>
      </w:r>
    </w:p>
    <w:p>
      <w:pPr>
        <w:jc w:val="both"/>
        <w:spacing w:before="0" w:after="120"/>
      </w:pPr>
      <w:r>
        <w:rPr>
          <w:b/>
        </w:rPr>
        <w:t xml:space="preserve">Subject:</w:t>
      </w:r>
      <w:r>
        <w:t xml:space="preserve"> Consolidated criminal complaint seeking registration of FIR and comprehensive investigation into the following alleged offences involving Dhanvantri Foundation International (DFI), DFI-related companies, Dharani Sheltors Private Limited, DFI Nirmaan Private Limited, DFI Ventures and associated persons/entities:</w:t>
      </w:r>
    </w:p>
    <w:p>
      <w:pPr>
        <w:tabs>
          <w:tab w:val="left" w:pos="720"/>
        </w:tabs>
        <w:spacing w:before="0" w:after="80"/>
        <w:ind w:left="720" w:hanging="360"/>
        <w:jc w:val="both"/>
      </w:pPr>
      <w:r>
        <w:t xml:space="preserve">1.	</w:t>
      </w:r>
      <w:r>
        <w:t xml:space="preserve">Collection of substantial amounts from investors through debentures, preference shares, “Advance for Land”, land/real-estate ventures and other investment schemes.</w:t>
      </w:r>
    </w:p>
    <w:p>
      <w:pPr>
        <w:tabs>
          <w:tab w:val="left" w:pos="720"/>
        </w:tabs>
        <w:spacing w:before="0" w:after="80"/>
        <w:ind w:left="720" w:hanging="360"/>
        <w:jc w:val="both"/>
      </w:pPr>
      <w:r>
        <w:t xml:space="preserve">2.	</w:t>
      </w:r>
      <w:r>
        <w:t xml:space="preserve">Receipt and retention of original investment/bond documents from investors for refund, followed by failure to refund principal amounts and agreed interest/returns.</w:t>
      </w:r>
    </w:p>
    <w:p>
      <w:pPr>
        <w:tabs>
          <w:tab w:val="left" w:pos="720"/>
        </w:tabs>
        <w:spacing w:before="0" w:after="80"/>
        <w:ind w:left="720" w:hanging="360"/>
        <w:jc w:val="both"/>
      </w:pPr>
      <w:r>
        <w:t xml:space="preserve">3.	</w:t>
      </w:r>
      <w:r>
        <w:t xml:space="preserve">Collection of money for land/plot ventures without clear survey numbers, title particulars, approved layouts, boundaries or identifiable property particulars, requiring verification of whether the promised land actually existed or was legally available at the time of collection.</w:t>
      </w:r>
    </w:p>
    <w:p>
      <w:pPr>
        <w:tabs>
          <w:tab w:val="left" w:pos="720"/>
        </w:tabs>
        <w:spacing w:before="0" w:after="80"/>
        <w:ind w:left="720" w:hanging="360"/>
        <w:jc w:val="both"/>
      </w:pPr>
      <w:r>
        <w:t xml:space="preserve">4.	</w:t>
      </w:r>
      <w:r>
        <w:t xml:space="preserve">Alleged unauthorised use of the DFI Trust name, logo, institutional identity, goodwill and address for private commercial companies, ventures and investment collections.</w:t>
      </w:r>
    </w:p>
    <w:p>
      <w:pPr>
        <w:tabs>
          <w:tab w:val="left" w:pos="720"/>
        </w:tabs>
        <w:spacing w:before="0" w:after="80"/>
        <w:ind w:left="720" w:hanging="360"/>
        <w:jc w:val="both"/>
      </w:pPr>
      <w:r>
        <w:t xml:space="preserve">5.	</w:t>
      </w:r>
      <w:r>
        <w:t xml:space="preserve">Operation of “Advance for Land”, “Deb”, “PS” and other transactions carrying fixed rates of interest/returns, TDS deductions and investment reference numbers, requiring investigation into whether such transactions were in substance deposits or unregulated investment schemes.</w:t>
      </w:r>
    </w:p>
    <w:p>
      <w:pPr>
        <w:tabs>
          <w:tab w:val="left" w:pos="720"/>
        </w:tabs>
        <w:spacing w:before="0" w:after="80"/>
        <w:ind w:left="720" w:hanging="360"/>
        <w:jc w:val="both"/>
      </w:pPr>
      <w:r>
        <w:t xml:space="preserve">6.	</w:t>
      </w:r>
      <w:r>
        <w:t xml:space="preserve">Alleged non-redemption of debentures, non-payment of maturity amounts/interest, and possible violations relating to debentures, preference shares, private placements and acceptance of deposits under the Companies Act, 2013.</w:t>
      </w:r>
    </w:p>
    <w:p>
      <w:pPr>
        <w:tabs>
          <w:tab w:val="left" w:pos="720"/>
        </w:tabs>
        <w:spacing w:before="0" w:after="80"/>
        <w:ind w:left="720" w:hanging="360"/>
        <w:jc w:val="both"/>
      </w:pPr>
      <w:r>
        <w:t xml:space="preserve">7.	</w:t>
      </w:r>
      <w:r>
        <w:t xml:space="preserve">Alleged cheating, dishonest inducement, criminal breach of trust, fraudulent default, criminal conspiracy and common intention involving multiple promoters, directors, trustees, authorised persons, employees, agents and associates.</w:t>
      </w:r>
    </w:p>
    <w:p>
      <w:pPr>
        <w:tabs>
          <w:tab w:val="left" w:pos="720"/>
        </w:tabs>
        <w:spacing w:before="0" w:after="80"/>
        <w:ind w:left="720" w:hanging="360"/>
        <w:jc w:val="both"/>
      </w:pPr>
      <w:r>
        <w:t xml:space="preserve">8.	</w:t>
      </w:r>
      <w:r>
        <w:t xml:space="preserve">Collection of money from a large number of investors, including elderly and vulnerable senior citizens, and alleged collection from some investors at their residences.</w:t>
      </w:r>
    </w:p>
    <w:p>
      <w:pPr>
        <w:tabs>
          <w:tab w:val="left" w:pos="720"/>
        </w:tabs>
        <w:spacing w:before="0" w:after="80"/>
        <w:ind w:left="720" w:hanging="360"/>
        <w:jc w:val="both"/>
      </w:pPr>
      <w:r>
        <w:t xml:space="preserve">9.	</w:t>
      </w:r>
      <w:r>
        <w:t xml:space="preserve">Possible violations of the Telangana Protection of Depositors of Financial Establishments Act, 1999 and the Banning of Unregulated Deposit Schemes Act, 2019.</w:t>
      </w:r>
    </w:p>
    <w:p>
      <w:pPr>
        <w:tabs>
          <w:tab w:val="left" w:pos="720"/>
        </w:tabs>
        <w:spacing w:before="0" w:after="80"/>
        <w:ind w:left="720" w:hanging="360"/>
        <w:jc w:val="both"/>
      </w:pPr>
      <w:r>
        <w:t xml:space="preserve">10.	</w:t>
      </w:r>
      <w:r>
        <w:t xml:space="preserve">Request for registration of appropriate criminal case/FIR, forensic financial investigation, search and seizure of records and electronic data, fund-trail investigation, identification and attachment of assets, recovery/protection of investor monies, and prosecution of every person whose individual role is established during investigation.</w:t>
      </w:r>
    </w:p>
    <w:p>
      <w:pPr>
        <w:spacing w:before="120" w:after="120"/>
      </w:pPr>
      <w:r>
        <w:t xml:space="preserve">Respected Sir,</w:t>
      </w:r>
    </w:p>
    <w:p>
      <w:pPr>
        <w:jc w:val="both"/>
        <w:spacing w:before="0" w:after="120"/>
      </w:pPr>
      <w:r>
        <w:t xml:space="preserve">I, on behalf of Victims Rights Protection Trust (VRPT), respectfully submit this consolidated criminal complaint in the interests of approximately 1,198 investor-victims whose cases, claims and documents are presently being represented/compiled through VRPT.</w:t>
      </w:r>
    </w:p>
    <w:p>
      <w:pPr>
        <w:jc w:val="both"/>
        <w:spacing w:before="0" w:after="120"/>
      </w:pPr>
      <w:r>
        <w:t xml:space="preserve">This complaint is not intended to convert an ordinary contractual or civil dispute into a criminal case. The grievance disclosed by the presently available documentary material is substantially wider. The documents disclose several recurring modes of collection and representation which, when examined together, require investigation into whether a deliberate and organised system was operated for mobilising money from members of the public under different descriptions, entities and instruments while using the goodwill and identity associated with Dhanvantri Foundation International / DFI.</w:t>
      </w:r>
    </w:p>
    <w:p>
      <w:pPr>
        <w:jc w:val="both"/>
        <w:spacing w:before="0" w:after="120"/>
      </w:pPr>
      <w:r>
        <w:t xml:space="preserve">The documents enclosed with the present complaint are examples from a much larger body of material. They are not represented as the entire universe of transactions. VRPT has produced selected original/copy records merely to demonstrate the nature and recurring pattern of transactions requiring investigation. The Investigating Agency is therefore requested not to confine investigation to the individual examples annexed to this complaint, but to identify all similarly situated depositors/investors and examine the complete records of all connected entities.</w:t>
      </w:r>
    </w:p>
    <w:p>
      <w:pPr>
        <w:spacing w:before="240" w:after="120"/>
        <w:keepNext/>
      </w:pPr>
      <w:r>
        <w:rPr>
          <w:b/>
          <w:u w:val="single"/>
        </w:rPr>
        <w:t xml:space="preserve">PERSONS / ENTITIES WHOSE ROLES REQUIRE INVESTIGATION</w:t>
      </w:r>
    </w:p>
    <w:p>
      <w:pPr>
        <w:jc w:val="both"/>
        <w:spacing w:before="0" w:after="120"/>
      </w:pPr>
      <w:r>
        <w:t xml:space="preserve">The principal entity/person presently complained against is:</w:t>
      </w:r>
    </w:p>
    <w:p>
      <w:pPr>
        <w:tabs>
          <w:tab w:val="left" w:pos="720"/>
        </w:tabs>
        <w:spacing w:before="0" w:after="80"/>
        <w:ind w:left="720" w:hanging="360"/>
        <w:jc w:val="both"/>
      </w:pPr>
      <w:r>
        <w:t xml:space="preserve">1.	</w:t>
      </w:r>
      <w:r>
        <w:t xml:space="preserve">Dhanvantri Foundation International (DFI) / DFI Trust, represented and managed during the relevant periods principally by </w:t>
      </w:r>
      <w:r>
        <w:rPr>
          <w:b/>
        </w:rPr>
        <w:t xml:space="preserve">Dr. Pantangi Kamalakar Sharma</w:t>
      </w:r>
      <w:r>
        <w:t xml:space="preserve">, H.No.8-1-206/B/1, Mylardevpally, Raghavendra Hills, Katedan, Hyderabad.</w:t>
      </w:r>
    </w:p>
    <w:p>
      <w:pPr>
        <w:jc w:val="both"/>
        <w:spacing w:before="0" w:after="120"/>
      </w:pPr>
      <w:r>
        <w:t xml:space="preserve">The following persons are also stated to have been connected at different points with DFI, its management, associated entities, investment activities, administration, collection, promotion, documentation or related affairs, and their respective roles may be investigated:</w:t>
      </w:r>
    </w:p>
    <w:p>
      <w:pPr>
        <w:tabs>
          <w:tab w:val="left" w:pos="720"/>
        </w:tabs>
        <w:spacing w:before="0" w:after="80"/>
        <w:ind w:left="720" w:hanging="360"/>
        <w:jc w:val="both"/>
      </w:pPr>
      <w:r>
        <w:t xml:space="preserve">2.	</w:t>
      </w:r>
      <w:r>
        <w:t xml:space="preserve">Akella Anuradha, W/o Gersappe Hemant Kumar, Gandhi Nagar, Hyderabad.</w:t>
      </w:r>
    </w:p>
    <w:p>
      <w:pPr>
        <w:tabs>
          <w:tab w:val="left" w:pos="720"/>
        </w:tabs>
        <w:spacing w:before="0" w:after="80"/>
        <w:ind w:left="720" w:hanging="360"/>
        <w:jc w:val="both"/>
      </w:pPr>
      <w:r>
        <w:t xml:space="preserve">3.	</w:t>
      </w:r>
      <w:r>
        <w:t xml:space="preserve">Peesapati Satyasree, W/o Late Peesapati Hanumanth Rao, LIC Colony, Hyderabad.</w:t>
      </w:r>
    </w:p>
    <w:p>
      <w:pPr>
        <w:tabs>
          <w:tab w:val="left" w:pos="720"/>
        </w:tabs>
        <w:spacing w:before="0" w:after="80"/>
        <w:ind w:left="720" w:hanging="360"/>
        <w:jc w:val="both"/>
      </w:pPr>
      <w:r>
        <w:t xml:space="preserve">4.	</w:t>
      </w:r>
      <w:r>
        <w:t xml:space="preserve">Smt. Dr. Jayasree Sharma, W/o Dr. Pantangi Kamalakar Sharma, Mylardevpally, Hyderabad.</w:t>
      </w:r>
    </w:p>
    <w:p>
      <w:pPr>
        <w:tabs>
          <w:tab w:val="left" w:pos="720"/>
        </w:tabs>
        <w:spacing w:before="0" w:after="80"/>
        <w:ind w:left="720" w:hanging="360"/>
        <w:jc w:val="both"/>
      </w:pPr>
      <w:r>
        <w:t xml:space="preserve">5.	</w:t>
      </w:r>
      <w:r>
        <w:t xml:space="preserve">Nippani Rama Mohan Rao, Vidya Nagar, Hyderabad.</w:t>
      </w:r>
    </w:p>
    <w:p>
      <w:pPr>
        <w:tabs>
          <w:tab w:val="left" w:pos="720"/>
        </w:tabs>
        <w:spacing w:before="0" w:after="80"/>
        <w:ind w:left="720" w:hanging="360"/>
        <w:jc w:val="both"/>
      </w:pPr>
      <w:r>
        <w:t xml:space="preserve">6.	</w:t>
      </w:r>
      <w:r>
        <w:t xml:space="preserve">K. Padma, Mettuguda, Hyderabad.</w:t>
      </w:r>
    </w:p>
    <w:p>
      <w:pPr>
        <w:tabs>
          <w:tab w:val="left" w:pos="720"/>
        </w:tabs>
        <w:spacing w:before="0" w:after="80"/>
        <w:ind w:left="720" w:hanging="360"/>
        <w:jc w:val="both"/>
      </w:pPr>
      <w:r>
        <w:t xml:space="preserve">7.	</w:t>
      </w:r>
      <w:r>
        <w:t xml:space="preserve">Lakkaraju Padmaja, R.K. Nagar, Malkajgiri.</w:t>
      </w:r>
    </w:p>
    <w:p>
      <w:pPr>
        <w:jc w:val="both"/>
        <w:spacing w:before="0" w:after="120"/>
      </w:pPr>
      <w:r>
        <w:t xml:space="preserve">The records supplied also disclose names of persons who were shown as trustees / former trustees / members of DFI at different times, including:</w:t>
      </w:r>
    </w:p>
    <w:p>
      <w:pPr>
        <w:tabs>
          <w:tab w:val="left" w:pos="720"/>
        </w:tabs>
        <w:spacing w:before="0" w:after="80"/>
        <w:ind w:left="720" w:hanging="360"/>
        <w:jc w:val="both"/>
      </w:pPr>
      <w:r>
        <w:t xml:space="preserve">8.	</w:t>
      </w:r>
      <w:r>
        <w:t xml:space="preserve">Sri Chebiyyam Ramakrishna — Trust Board Member.</w:t>
      </w:r>
    </w:p>
    <w:p>
      <w:pPr>
        <w:tabs>
          <w:tab w:val="left" w:pos="720"/>
        </w:tabs>
        <w:spacing w:before="0" w:after="80"/>
        <w:ind w:left="720" w:hanging="360"/>
        <w:jc w:val="both"/>
      </w:pPr>
      <w:r>
        <w:t xml:space="preserve">9.	</w:t>
      </w:r>
      <w:r>
        <w:t xml:space="preserve">Dr. Madhusudan Joshi — Trust Board Member.</w:t>
      </w:r>
    </w:p>
    <w:p>
      <w:pPr>
        <w:tabs>
          <w:tab w:val="left" w:pos="720"/>
        </w:tabs>
        <w:spacing w:before="0" w:after="80"/>
        <w:ind w:left="720" w:hanging="360"/>
        <w:jc w:val="both"/>
      </w:pPr>
      <w:r>
        <w:t xml:space="preserve">10.	</w:t>
      </w:r>
      <w:r>
        <w:t xml:space="preserve">Dr. Anapindi Venkata Ratnam — Founder / former Trust Board Member.</w:t>
      </w:r>
    </w:p>
    <w:p>
      <w:pPr>
        <w:tabs>
          <w:tab w:val="left" w:pos="720"/>
        </w:tabs>
        <w:spacing w:before="0" w:after="80"/>
        <w:ind w:left="720" w:hanging="360"/>
        <w:jc w:val="both"/>
      </w:pPr>
      <w:r>
        <w:t xml:space="preserve">11.	</w:t>
      </w:r>
      <w:r>
        <w:t xml:space="preserve">Dr. Bangalore Narasimhan Ravi Kumar — Trust Board Member.</w:t>
      </w:r>
    </w:p>
    <w:p>
      <w:pPr>
        <w:tabs>
          <w:tab w:val="left" w:pos="720"/>
        </w:tabs>
        <w:spacing w:before="0" w:after="80"/>
        <w:ind w:left="720" w:hanging="360"/>
        <w:jc w:val="both"/>
      </w:pPr>
      <w:r>
        <w:t xml:space="preserve">12.	</w:t>
      </w:r>
      <w:r>
        <w:t xml:space="preserve">Dr. Vithal Rao — Trust Board Member.</w:t>
      </w:r>
    </w:p>
    <w:p>
      <w:pPr>
        <w:tabs>
          <w:tab w:val="left" w:pos="720"/>
        </w:tabs>
        <w:spacing w:before="0" w:after="80"/>
        <w:ind w:left="720" w:hanging="360"/>
        <w:jc w:val="both"/>
      </w:pPr>
      <w:r>
        <w:t xml:space="preserve">13.	</w:t>
      </w:r>
      <w:r>
        <w:t xml:space="preserve">Dr. Mahabashyam Vijay Kumar — Trust Board Member.</w:t>
      </w:r>
    </w:p>
    <w:p>
      <w:pPr>
        <w:tabs>
          <w:tab w:val="left" w:pos="720"/>
        </w:tabs>
        <w:spacing w:before="0" w:after="80"/>
        <w:ind w:left="720" w:hanging="360"/>
        <w:jc w:val="both"/>
      </w:pPr>
      <w:r>
        <w:t xml:space="preserve">14.	</w:t>
      </w:r>
      <w:r>
        <w:t xml:space="preserve">Sri Roddam Prabhakar, IPS (Retd.) — Trust Board Member.</w:t>
      </w:r>
    </w:p>
    <w:p>
      <w:pPr>
        <w:tabs>
          <w:tab w:val="left" w:pos="720"/>
        </w:tabs>
        <w:spacing w:before="0" w:after="80"/>
        <w:ind w:left="720" w:hanging="360"/>
        <w:jc w:val="both"/>
      </w:pPr>
      <w:r>
        <w:t xml:space="preserve">15.	</w:t>
      </w:r>
      <w:r>
        <w:t xml:space="preserve">Dr. Pantangi Kamalakar Sharma — Founder / Managing Trustee / person stated to have exercised principal control.</w:t>
      </w:r>
    </w:p>
    <w:p>
      <w:pPr>
        <w:tabs>
          <w:tab w:val="left" w:pos="720"/>
        </w:tabs>
        <w:spacing w:before="0" w:after="80"/>
        <w:ind w:left="720" w:hanging="360"/>
        <w:jc w:val="both"/>
      </w:pPr>
      <w:r>
        <w:t xml:space="preserve">16.	</w:t>
      </w:r>
      <w:r>
        <w:t xml:space="preserve">Smt. Dr. Jayasree Sharma — associated with the management / companies during the relevant period.</w:t>
      </w:r>
    </w:p>
    <w:p>
      <w:pPr>
        <w:jc w:val="both"/>
        <w:spacing w:before="0" w:after="120"/>
      </w:pPr>
      <w:r>
        <w:t xml:space="preserve">The mere historical description of a person as a trustee or board member should not, by itself, be treated as proof of criminal guilt. The Investigating Officer is requested to determine the individual role, period of association, knowledge, consent, participation, objection, financial benefit, authorisation, representations to investors and control over funds of each such person.</w:t>
      </w:r>
    </w:p>
    <w:p>
      <w:pPr>
        <w:jc w:val="both"/>
        <w:spacing w:before="0" w:after="120"/>
      </w:pPr>
      <w:r>
        <w:t xml:space="preserve">In particular, the available material attributed to former founder-trustee Dr. A. Venkata Ratnam records an assertion that trustees had objected to use of the DFI name/logo for private limited companies. His role and statement must therefore be independently recorded and evaluated rather than mechanically treating all past trustees alike.</w:t>
      </w:r>
    </w:p>
    <w:p>
      <w:pPr>
        <w:jc w:val="both"/>
        <w:spacing w:before="0" w:after="120"/>
      </w:pPr>
      <w:r>
        <w:t xml:space="preserve">At the same time, every promoter, director, trustee, authorised signatory, employee, collection agent, accountant, intermediary or associate who knowingly participated in collection, inducement, diversion, documentation, false representation, fraudulent default, destruction/concealment of records or unauthorised use of DFI identity should be identified and proceeded against according to evidence.</w:t>
      </w:r>
    </w:p>
    <w:p>
      <w:pPr>
        <w:spacing w:before="240" w:after="120"/>
        <w:keepNext/>
      </w:pPr>
      <w:r>
        <w:rPr>
          <w:b/>
          <w:u w:val="single"/>
        </w:rPr>
        <w:t xml:space="preserve">I. RECEIPT OF ORIGINAL INVESTMENT DOCUMENTS FOR REFUND, FOLLOWED BY FAILURE TO REFUND</w:t>
      </w:r>
    </w:p>
    <w:p>
      <w:pPr>
        <w:jc w:val="both"/>
        <w:spacing w:before="0" w:after="120"/>
      </w:pPr>
      <w:r>
        <w:t xml:space="preserve">One of the documentary examples relates to Sri Kasinadhuni Kameswara Rao.</w:t>
      </w:r>
    </w:p>
    <w:p>
      <w:pPr>
        <w:jc w:val="both"/>
        <w:spacing w:before="0" w:after="120"/>
      </w:pPr>
      <w:r>
        <w:t xml:space="preserve">The available documents disclose investment instruments including:</w:t>
      </w:r>
    </w:p>
    <w:p>
      <w:pPr>
        <w:tabs>
          <w:tab w:val="left" w:pos="720"/>
        </w:tabs>
        <w:spacing w:before="0" w:after="80"/>
        <w:ind w:left="720" w:hanging="360"/>
        <w:jc w:val="both"/>
      </w:pPr>
      <w:r>
        <w:t xml:space="preserve">1.	</w:t>
      </w:r>
      <w:r>
        <w:t xml:space="preserve">Bond/Certificate No. 90/AA437628/11%, allotted on 24-11-2020 — ₹1,50,000/-; and</w:t>
      </w:r>
    </w:p>
    <w:p>
      <w:pPr>
        <w:tabs>
          <w:tab w:val="left" w:pos="720"/>
        </w:tabs>
        <w:spacing w:before="0" w:after="80"/>
        <w:ind w:left="720" w:hanging="360"/>
        <w:jc w:val="both"/>
      </w:pPr>
      <w:r>
        <w:t xml:space="preserve">2.	</w:t>
      </w:r>
      <w:r>
        <w:t xml:space="preserve">Bond/Certificate No. 90/AL067598/11%, allotted on 29-11-2021 — ₹2,00,000/-.</w:t>
      </w:r>
    </w:p>
    <w:p>
      <w:pPr>
        <w:jc w:val="both"/>
        <w:spacing w:before="0" w:after="120"/>
      </w:pPr>
      <w:r>
        <w:t xml:space="preserve">The principal reflected by these two documents is </w:t>
      </w:r>
      <w:r>
        <w:rPr>
          <w:b/>
        </w:rPr>
        <w:t xml:space="preserve">₹3,50,000/-</w:t>
      </w:r>
      <w:r>
        <w:t xml:space="preserve">, apart from agreed/pending returns.</w:t>
      </w:r>
    </w:p>
    <w:p>
      <w:pPr>
        <w:jc w:val="both"/>
        <w:spacing w:before="0" w:after="120"/>
      </w:pPr>
      <w:r>
        <w:t xml:space="preserve">On 17-11-2022, the investor submitted a request seeking refund and surrendered the original bond documents to DFI Ventures Ltd. The office acknowledged receipt by making the endorsement </w:t>
      </w:r>
      <w:r>
        <w:rPr>
          <w:b/>
        </w:rPr>
        <w:t xml:space="preserve">“Original Received”</w:t>
      </w:r>
      <w:r>
        <w:t xml:space="preserve"> with signature/inward acknowledgment.</w:t>
      </w:r>
    </w:p>
    <w:p>
      <w:pPr>
        <w:jc w:val="both"/>
        <w:spacing w:before="0" w:after="120"/>
      </w:pPr>
      <w:r>
        <w:t xml:space="preserve">Despite taking possession of the original instruments specifically in the context of repayment/refund, the principal and pending interest were allegedly not refunded. The documentary material therefore requires investigation into entrustment, dishonest retention, deception, the identity of the officer who obtained the originals and the present custody of the documents.</w:t>
      </w:r>
    </w:p>
    <w:p>
      <w:pPr>
        <w:jc w:val="both"/>
        <w:spacing w:before="0" w:after="120"/>
      </w:pPr>
      <w:r>
        <w:t xml:space="preserve">The police are requested to seize and examine the inward register, bond-surrender register, refund register, maturity register, investor ledger, payment register, accounting database and the actual originals surrendered by investors.</w:t>
      </w:r>
    </w:p>
    <w:p>
      <w:pPr>
        <w:spacing w:before="240" w:after="120"/>
        <w:keepNext/>
      </w:pPr>
      <w:r>
        <w:rPr>
          <w:b/>
          <w:u w:val="single"/>
        </w:rPr>
        <w:t xml:space="preserve">II. VIJAYAWADA VENTURE — COLLECTION OF SUBSTANTIAL MONEY WITHOUT CLEAR PROPERTY IDENTIFICATION</w:t>
      </w:r>
    </w:p>
    <w:p>
      <w:pPr>
        <w:jc w:val="both"/>
        <w:spacing w:before="0" w:after="120"/>
      </w:pPr>
      <w:r>
        <w:t xml:space="preserve">Another documentary example relates to money collected through Dharani Sheltors Private Limited towards the so-called “Vijayawada Venture.”</w:t>
      </w:r>
    </w:p>
    <w:p>
      <w:pPr>
        <w:jc w:val="both"/>
        <w:spacing w:before="0" w:after="120"/>
      </w:pPr>
      <w:r>
        <w:t xml:space="preserve">A receipt acknowledges approximately ₹3,00,000/- as full payment towards an east-facing plot of about 200 square yards. However, the receipt itself does not disclose a specific survey number, title deed number, approved layout number, boundaries or a sufficiently definite property schedule corresponding to the money collected.</w:t>
      </w:r>
    </w:p>
    <w:p>
      <w:pPr>
        <w:jc w:val="both"/>
        <w:spacing w:before="0" w:after="120"/>
      </w:pPr>
      <w:r>
        <w:t xml:space="preserve">The minutes dated 25-10-2014 are particularly material. They record that members themselves questioned:</w:t>
      </w:r>
    </w:p>
    <w:p>
      <w:pPr>
        <w:ind w:left="720" w:hanging="0"/>
        <w:spacing w:before="0" w:after="120"/>
      </w:pPr>
      <w:r>
        <w:rPr>
          <w:i/>
        </w:rPr>
        <w:t xml:space="preserve">“How the plots were allotted without land &amp; approved Layout.”</w:t>
      </w:r>
    </w:p>
    <w:p>
      <w:pPr>
        <w:jc w:val="both"/>
        <w:spacing w:before="0" w:after="120"/>
      </w:pPr>
      <w:r>
        <w:t xml:space="preserve">The minutes further indicate that additional land was contemplated to be purchased as and when advances were received from members, and that tentative arrangements/layouts were proposed.</w:t>
      </w:r>
    </w:p>
    <w:p>
      <w:pPr>
        <w:jc w:val="both"/>
        <w:spacing w:before="0" w:after="120"/>
      </w:pPr>
      <w:r>
        <w:t xml:space="preserve">This requires a date-wise forensic comparison between:</w:t>
      </w:r>
    </w:p>
    <w:p>
      <w:pPr>
        <w:jc w:val="both"/>
        <w:spacing w:before="0" w:after="120"/>
      </w:pPr>
      <w:r>
        <w:t xml:space="preserve">(a) money collected from every investor;</w:t>
      </w:r>
      <w:r>
        <w:br/>
      </w:r>
      <w:r>
        <w:t xml:space="preserve">(b) land actually owned by the concerned company on the date of collection;</w:t>
      </w:r>
      <w:r>
        <w:br/>
      </w:r>
      <w:r>
        <w:t xml:space="preserve">(c) land merely proposed to be purchased;</w:t>
      </w:r>
      <w:r>
        <w:br/>
      </w:r>
      <w:r>
        <w:t xml:space="preserve">(d) approved layouts existing on that date;</w:t>
      </w:r>
      <w:r>
        <w:br/>
      </w:r>
      <w:r>
        <w:t xml:space="preserve">(e) specific plots represented/allotted;</w:t>
      </w:r>
      <w:r>
        <w:br/>
      </w:r>
      <w:r>
        <w:t xml:space="preserve">(f) survey numbers/title documents corresponding to those plots; and</w:t>
      </w:r>
      <w:r>
        <w:br/>
      </w:r>
      <w:r>
        <w:t xml:space="preserve">(g) eventual registration/refund status.</w:t>
      </w:r>
    </w:p>
    <w:p>
      <w:pPr>
        <w:jc w:val="both"/>
        <w:spacing w:before="0" w:after="120"/>
      </w:pPr>
      <w:r>
        <w:t xml:space="preserve">The same records refer to alternative repayment proposals carrying substantial fixed returns, including rates stated as 24% and 36%, thereby requiring examination of the true financial nature of the arrangement.</w:t>
      </w:r>
    </w:p>
    <w:p>
      <w:pPr>
        <w:jc w:val="both"/>
        <w:spacing w:before="0" w:after="120"/>
      </w:pPr>
      <w:r>
        <w:t xml:space="preserve">The documents further refer to Government attachment proceedings concerning lands connected with the Vijayawada/Gannavaram area. The complete schedules under G.O.Rt.No.541 dated 05-07-2024 and G.O.Rt.No.542/2024 dated 05-07-2024, together with the Special Court/MSJ proceedings and subsequent judicial orders, may be obtained and compared with the properties represented to investors.</w:t>
      </w:r>
    </w:p>
    <w:p>
      <w:pPr>
        <w:spacing w:before="240" w:after="120"/>
        <w:keepNext/>
      </w:pPr>
      <w:r>
        <w:rPr>
          <w:b/>
          <w:u w:val="single"/>
        </w:rPr>
        <w:t xml:space="preserve">III. ALLEGED USE OF DFI TRUST NAME, LOGO, GOODWILL AND ADDRESS FOR PRIVATE COMMERCIAL COLLECTIONS</w:t>
      </w:r>
    </w:p>
    <w:p>
      <w:pPr>
        <w:jc w:val="both"/>
        <w:spacing w:before="0" w:after="120"/>
      </w:pPr>
      <w:r>
        <w:t xml:space="preserve">A separate and serious issue emerging from the documents is the alleged utilisation of the name, logo, institutional identity and goodwill of Dhanvantri Foundation International (DFI) in connection with privately controlled commercial companies and investment/real-estate transactions.</w:t>
      </w:r>
    </w:p>
    <w:p>
      <w:pPr>
        <w:jc w:val="both"/>
        <w:spacing w:before="0" w:after="120"/>
      </w:pPr>
      <w:r>
        <w:t xml:space="preserve">The written statement attributed to founder/former trustee Dr. A. Venkata Ratnam dated 16-05-2024 states, inter alia, that the Trust was originally constituted for charitable/educational purposes and that the trustees allegedly never agreed to use the DFI name and logo for private limited companies.</w:t>
      </w:r>
    </w:p>
    <w:p>
      <w:pPr>
        <w:jc w:val="both"/>
        <w:spacing w:before="0" w:after="120"/>
      </w:pPr>
      <w:r>
        <w:t xml:space="preserve">At the same time, commercial documents and receipts show the letters “DFI”, similar emblem/logo presentation and addresses associated with DFI appearing in private-company transactions.</w:t>
      </w:r>
    </w:p>
    <w:p>
      <w:pPr>
        <w:jc w:val="both"/>
        <w:spacing w:before="0" w:after="120"/>
      </w:pPr>
      <w:r>
        <w:t xml:space="preserve">The investigation should ascertain:</w:t>
      </w:r>
    </w:p>
    <w:p>
      <w:pPr>
        <w:tabs>
          <w:tab w:val="left" w:pos="720"/>
        </w:tabs>
        <w:spacing w:before="0" w:after="80"/>
        <w:ind w:left="720" w:hanging="360"/>
        <w:jc w:val="both"/>
      </w:pPr>
      <w:r>
        <w:t xml:space="preserve">1.	</w:t>
      </w:r>
      <w:r>
        <w:t xml:space="preserve">Whether the DFI Trust ever passed a valid resolution authorising commercial use of its name or logo;</w:t>
      </w:r>
    </w:p>
    <w:p>
      <w:pPr>
        <w:tabs>
          <w:tab w:val="left" w:pos="720"/>
        </w:tabs>
        <w:spacing w:before="0" w:after="80"/>
        <w:ind w:left="720" w:hanging="360"/>
        <w:jc w:val="both"/>
      </w:pPr>
      <w:r>
        <w:t xml:space="preserve">2.	</w:t>
      </w:r>
      <w:r>
        <w:t xml:space="preserve">Whether any licence, assignment, consent or board resolution existed;</w:t>
      </w:r>
    </w:p>
    <w:p>
      <w:pPr>
        <w:tabs>
          <w:tab w:val="left" w:pos="720"/>
        </w:tabs>
        <w:spacing w:before="0" w:after="80"/>
        <w:ind w:left="720" w:hanging="360"/>
        <w:jc w:val="both"/>
      </w:pPr>
      <w:r>
        <w:t xml:space="preserve">3.	</w:t>
      </w:r>
      <w:r>
        <w:t xml:space="preserve">Who ordered, designed, printed and circulated receipts, certificates, brochures and promotional material carrying the DFI name/logo;</w:t>
      </w:r>
    </w:p>
    <w:p>
      <w:pPr>
        <w:tabs>
          <w:tab w:val="left" w:pos="720"/>
        </w:tabs>
        <w:spacing w:before="0" w:after="80"/>
        <w:ind w:left="720" w:hanging="360"/>
        <w:jc w:val="both"/>
      </w:pPr>
      <w:r>
        <w:t xml:space="preserve">4.	</w:t>
      </w:r>
      <w:r>
        <w:t xml:space="preserve">Whether investors understood that the ventures were Trust-backed or Trust-authorised because of the use of the DFI identity;</w:t>
      </w:r>
    </w:p>
    <w:p>
      <w:pPr>
        <w:tabs>
          <w:tab w:val="left" w:pos="720"/>
        </w:tabs>
        <w:spacing w:before="0" w:after="80"/>
        <w:ind w:left="720" w:hanging="360"/>
        <w:jc w:val="both"/>
      </w:pPr>
      <w:r>
        <w:t xml:space="preserve">5.	</w:t>
      </w:r>
      <w:r>
        <w:t xml:space="preserve">Whether the same office addresses, personnel and institutional representations were deliberately used to create confidence;</w:t>
      </w:r>
    </w:p>
    <w:p>
      <w:pPr>
        <w:tabs>
          <w:tab w:val="left" w:pos="720"/>
        </w:tabs>
        <w:spacing w:before="0" w:after="80"/>
        <w:ind w:left="720" w:hanging="360"/>
        <w:jc w:val="both"/>
      </w:pPr>
      <w:r>
        <w:t xml:space="preserve">6.	</w:t>
      </w:r>
      <w:r>
        <w:t xml:space="preserve">Which private companies used the DFI name/logo/address; and</w:t>
      </w:r>
    </w:p>
    <w:p>
      <w:pPr>
        <w:tabs>
          <w:tab w:val="left" w:pos="720"/>
        </w:tabs>
        <w:spacing w:before="0" w:after="80"/>
        <w:ind w:left="720" w:hanging="360"/>
        <w:jc w:val="both"/>
      </w:pPr>
      <w:r>
        <w:t xml:space="preserve">7.	</w:t>
      </w:r>
      <w:r>
        <w:t xml:space="preserve">Who derived financial benefit from such use.</w:t>
      </w:r>
    </w:p>
    <w:p>
      <w:pPr>
        <w:jc w:val="both"/>
        <w:spacing w:before="0" w:after="120"/>
      </w:pPr>
      <w:r>
        <w:t xml:space="preserve">The ROC files, Trust deed, bye-laws, minutes books, resolutions, company incorporation documents, bank mandates, authorised-signatory records and promotional materials from the entire relevant period should be obtained.</w:t>
      </w:r>
    </w:p>
    <w:p>
      <w:pPr>
        <w:spacing w:before="240" w:after="120"/>
        <w:keepNext/>
      </w:pPr>
      <w:r>
        <w:rPr>
          <w:b/>
          <w:u w:val="single"/>
        </w:rPr>
        <w:t xml:space="preserve">IV. “ADVANCE FOR LAND” TRANSACTIONS OPERATED AS INTEREST-BEARING INVESTMENTS</w:t>
      </w:r>
    </w:p>
    <w:p>
      <w:pPr>
        <w:jc w:val="both"/>
        <w:spacing w:before="0" w:after="120"/>
      </w:pPr>
      <w:r>
        <w:t xml:space="preserve">One of the most significant documents is titled:</w:t>
      </w:r>
    </w:p>
    <w:p>
      <w:pPr>
        <w:ind w:left="720" w:hanging="0"/>
        <w:spacing w:before="0" w:after="120"/>
      </w:pPr>
      <w:r>
        <w:rPr>
          <w:i/>
        </w:rPr>
        <w:t xml:space="preserve">“DFI GROUP OF COMPANIES – STATEMENT OF INTERESTS/DIVIDENDS/COMPENSATIONS PAID” dated 03-05-2023.</w:t>
      </w:r>
    </w:p>
    <w:p>
      <w:pPr>
        <w:jc w:val="both"/>
        <w:spacing w:before="0" w:after="120"/>
      </w:pPr>
      <w:r>
        <w:t xml:space="preserve">It records investor identification details, investment reference numbers, concerned company, principal, percentage rate, interest period, number of days, gross interest, TDS, net interest, bank particulars and mode/date of payment.</w:t>
      </w:r>
    </w:p>
    <w:p>
      <w:pPr>
        <w:jc w:val="both"/>
        <w:spacing w:before="0" w:after="120"/>
      </w:pPr>
      <w:r>
        <w:t xml:space="preserve">Several transactions described as “Adv for Land” carry fixed annual returns approximately ranging from 13% to 15%, while other categories described as “Deb” and “PS” are also reflected with stated rates.</w:t>
      </w:r>
    </w:p>
    <w:p>
      <w:pPr>
        <w:jc w:val="both"/>
        <w:spacing w:before="0" w:after="120"/>
      </w:pPr>
      <w:r>
        <w:t xml:space="preserve">Among the entries are amounts of ₹2 lakh, ₹15 lakh, ₹20 lakh, ₹25 lakh and ₹50 lakh distributed across multiple DFI-related entities including descriptions such as DSPL, Infra, Nirmaan and Ventures.</w:t>
      </w:r>
    </w:p>
    <w:p>
      <w:pPr>
        <w:jc w:val="both"/>
        <w:spacing w:before="0" w:after="120"/>
      </w:pPr>
      <w:r>
        <w:t xml:space="preserve">The statement records aggregate interest calculations and TDS. The particular statement examined in the supporting material reflects principal entries aggregating to approximately ₹2.82 crore for the concerned investor, while any larger total must be verified from further receipts, bank records and ledgers.</w:t>
      </w:r>
    </w:p>
    <w:p>
      <w:pPr>
        <w:jc w:val="both"/>
        <w:spacing w:before="0" w:after="120"/>
      </w:pPr>
      <w:r>
        <w:t xml:space="preserve">The police are therefore requested to determine whether an amount described as an “Advance for Land” was genuinely connected to identified immovable property under a genuine agreement for sale or whether the nomenclature was used for what was, in substance, an interest-bearing investment/deposit arrangement.</w:t>
      </w:r>
    </w:p>
    <w:p>
      <w:pPr>
        <w:jc w:val="both"/>
        <w:spacing w:before="0" w:after="120"/>
      </w:pPr>
      <w:r>
        <w:t xml:space="preserve">For every such entry, the investigators should demand:</w:t>
      </w:r>
    </w:p>
    <w:p>
      <w:pPr>
        <w:tabs>
          <w:tab w:val="left" w:pos="720"/>
        </w:tabs>
        <w:spacing w:before="0" w:after="80"/>
        <w:ind w:left="720" w:hanging="360"/>
        <w:jc w:val="both"/>
      </w:pPr>
      <w:r>
        <w:t xml:space="preserve">•	</w:t>
      </w:r>
      <w:r>
        <w:t xml:space="preserve">agreement of sale;</w:t>
      </w:r>
    </w:p>
    <w:p>
      <w:pPr>
        <w:tabs>
          <w:tab w:val="left" w:pos="720"/>
        </w:tabs>
        <w:spacing w:before="0" w:after="80"/>
        <w:ind w:left="720" w:hanging="360"/>
        <w:jc w:val="both"/>
      </w:pPr>
      <w:r>
        <w:t xml:space="preserve">•	</w:t>
      </w:r>
      <w:r>
        <w:t xml:space="preserve">survey number;</w:t>
      </w:r>
    </w:p>
    <w:p>
      <w:pPr>
        <w:tabs>
          <w:tab w:val="left" w:pos="720"/>
        </w:tabs>
        <w:spacing w:before="0" w:after="80"/>
        <w:ind w:left="720" w:hanging="360"/>
        <w:jc w:val="both"/>
      </w:pPr>
      <w:r>
        <w:t xml:space="preserve">•	</w:t>
      </w:r>
      <w:r>
        <w:t xml:space="preserve">village;</w:t>
      </w:r>
    </w:p>
    <w:p>
      <w:pPr>
        <w:tabs>
          <w:tab w:val="left" w:pos="720"/>
        </w:tabs>
        <w:spacing w:before="0" w:after="80"/>
        <w:ind w:left="720" w:hanging="360"/>
        <w:jc w:val="both"/>
      </w:pPr>
      <w:r>
        <w:t xml:space="preserve">•	</w:t>
      </w:r>
      <w:r>
        <w:t xml:space="preserve">title deed;</w:t>
      </w:r>
    </w:p>
    <w:p>
      <w:pPr>
        <w:tabs>
          <w:tab w:val="left" w:pos="720"/>
        </w:tabs>
        <w:spacing w:before="0" w:after="80"/>
        <w:ind w:left="720" w:hanging="360"/>
        <w:jc w:val="both"/>
      </w:pPr>
      <w:r>
        <w:t xml:space="preserve">•	</w:t>
      </w:r>
      <w:r>
        <w:t xml:space="preserve">extent;</w:t>
      </w:r>
    </w:p>
    <w:p>
      <w:pPr>
        <w:tabs>
          <w:tab w:val="left" w:pos="720"/>
        </w:tabs>
        <w:spacing w:before="0" w:after="80"/>
        <w:ind w:left="720" w:hanging="360"/>
        <w:jc w:val="both"/>
      </w:pPr>
      <w:r>
        <w:t xml:space="preserve">•	</w:t>
      </w:r>
      <w:r>
        <w:t xml:space="preserve">plot number;</w:t>
      </w:r>
    </w:p>
    <w:p>
      <w:pPr>
        <w:tabs>
          <w:tab w:val="left" w:pos="720"/>
        </w:tabs>
        <w:spacing w:before="0" w:after="80"/>
        <w:ind w:left="720" w:hanging="360"/>
        <w:jc w:val="both"/>
      </w:pPr>
      <w:r>
        <w:t xml:space="preserve">•	</w:t>
      </w:r>
      <w:r>
        <w:t xml:space="preserve">ownership details;</w:t>
      </w:r>
    </w:p>
    <w:p>
      <w:pPr>
        <w:tabs>
          <w:tab w:val="left" w:pos="720"/>
        </w:tabs>
        <w:spacing w:before="0" w:after="80"/>
        <w:ind w:left="720" w:hanging="360"/>
        <w:jc w:val="both"/>
      </w:pPr>
      <w:r>
        <w:t xml:space="preserve">•	</w:t>
      </w:r>
      <w:r>
        <w:t xml:space="preserve">approved layout;</w:t>
      </w:r>
    </w:p>
    <w:p>
      <w:pPr>
        <w:tabs>
          <w:tab w:val="left" w:pos="720"/>
        </w:tabs>
        <w:spacing w:before="0" w:after="80"/>
        <w:ind w:left="720" w:hanging="360"/>
        <w:jc w:val="both"/>
      </w:pPr>
      <w:r>
        <w:t xml:space="preserve">•	</w:t>
      </w:r>
      <w:r>
        <w:t xml:space="preserve">amount adjusted towards sale consideration;</w:t>
      </w:r>
    </w:p>
    <w:p>
      <w:pPr>
        <w:tabs>
          <w:tab w:val="left" w:pos="720"/>
        </w:tabs>
        <w:spacing w:before="0" w:after="80"/>
        <w:ind w:left="720" w:hanging="360"/>
        <w:jc w:val="both"/>
      </w:pPr>
      <w:r>
        <w:t xml:space="preserve">•	</w:t>
      </w:r>
      <w:r>
        <w:t xml:space="preserve">registration details;</w:t>
      </w:r>
    </w:p>
    <w:p>
      <w:pPr>
        <w:tabs>
          <w:tab w:val="left" w:pos="720"/>
        </w:tabs>
        <w:spacing w:before="0" w:after="80"/>
        <w:ind w:left="720" w:hanging="360"/>
        <w:jc w:val="both"/>
      </w:pPr>
      <w:r>
        <w:t xml:space="preserve">•	</w:t>
      </w:r>
      <w:r>
        <w:t xml:space="preserve">possession records;</w:t>
      </w:r>
    </w:p>
    <w:p>
      <w:pPr>
        <w:tabs>
          <w:tab w:val="left" w:pos="720"/>
        </w:tabs>
        <w:spacing w:before="0" w:after="80"/>
        <w:ind w:left="720" w:hanging="360"/>
        <w:jc w:val="both"/>
      </w:pPr>
      <w:r>
        <w:t xml:space="preserve">•	</w:t>
      </w:r>
      <w:r>
        <w:t xml:space="preserve">refund records; and</w:t>
      </w:r>
    </w:p>
    <w:p>
      <w:pPr>
        <w:tabs>
          <w:tab w:val="left" w:pos="720"/>
        </w:tabs>
        <w:spacing w:before="0" w:after="80"/>
        <w:ind w:left="720" w:hanging="360"/>
        <w:jc w:val="both"/>
      </w:pPr>
      <w:r>
        <w:t xml:space="preserve">•	</w:t>
      </w:r>
      <w:r>
        <w:t xml:space="preserve">explanation for payment/promising of fixed annual interest.</w:t>
      </w:r>
    </w:p>
    <w:p>
      <w:pPr>
        <w:jc w:val="both"/>
        <w:spacing w:before="0" w:after="120"/>
      </w:pPr>
      <w:r>
        <w:t xml:space="preserve">The combination of the words investment, fixed percentage return, day-wise interest calculation, TDS deduction, investment reference numbers and utilisation of multiple related companies requires examination of the entire financial architecture rather than treatment of every entry as an isolated land sale.</w:t>
      </w:r>
    </w:p>
    <w:p>
      <w:pPr>
        <w:spacing w:before="240" w:after="120"/>
        <w:keepNext/>
      </w:pPr>
      <w:r>
        <w:rPr>
          <w:b/>
          <w:u w:val="single"/>
        </w:rPr>
        <w:t xml:space="preserve">V. DEBENTURES, PREFERENCE SHARES AND INVESTMENT INSTRUMENTS</w:t>
      </w:r>
    </w:p>
    <w:p>
      <w:pPr>
        <w:jc w:val="both"/>
        <w:spacing w:before="0" w:after="120"/>
      </w:pPr>
      <w:r>
        <w:t xml:space="preserve">The supporting material further indicates the issue/use of documents described as debentures and preference-share related investment instruments.</w:t>
      </w:r>
    </w:p>
    <w:p>
      <w:pPr>
        <w:jc w:val="both"/>
        <w:spacing w:before="0" w:after="120"/>
      </w:pPr>
      <w:r>
        <w:t xml:space="preserve">The police and Serious Fraud / corporate authorities should examine whether every such instrument was issued in compliance with the Companies Act, prescribed rules and applicable securities/deposit regulations.</w:t>
      </w:r>
    </w:p>
    <w:p>
      <w:pPr>
        <w:jc w:val="both"/>
        <w:spacing w:before="0" w:after="120"/>
      </w:pPr>
      <w:r>
        <w:t xml:space="preserve">In particular, investigation should determine:</w:t>
      </w:r>
    </w:p>
    <w:p>
      <w:pPr>
        <w:tabs>
          <w:tab w:val="left" w:pos="720"/>
        </w:tabs>
        <w:spacing w:before="0" w:after="80"/>
        <w:ind w:left="720" w:hanging="360"/>
        <w:jc w:val="both"/>
      </w:pPr>
      <w:r>
        <w:t xml:space="preserve">1.	</w:t>
      </w:r>
      <w:r>
        <w:t xml:space="preserve">the company that actually issued each debenture;</w:t>
      </w:r>
    </w:p>
    <w:p>
      <w:pPr>
        <w:tabs>
          <w:tab w:val="left" w:pos="720"/>
        </w:tabs>
        <w:spacing w:before="0" w:after="80"/>
        <w:ind w:left="720" w:hanging="360"/>
        <w:jc w:val="both"/>
      </w:pPr>
      <w:r>
        <w:t xml:space="preserve">2.	</w:t>
      </w:r>
      <w:r>
        <w:t xml:space="preserve">authority of the persons signing/issuing it;</w:t>
      </w:r>
    </w:p>
    <w:p>
      <w:pPr>
        <w:tabs>
          <w:tab w:val="left" w:pos="720"/>
        </w:tabs>
        <w:spacing w:before="0" w:after="80"/>
        <w:ind w:left="720" w:hanging="360"/>
        <w:jc w:val="both"/>
      </w:pPr>
      <w:r>
        <w:t xml:space="preserve">3.	</w:t>
      </w:r>
      <w:r>
        <w:t xml:space="preserve">board/shareholder resolutions;</w:t>
      </w:r>
    </w:p>
    <w:p>
      <w:pPr>
        <w:tabs>
          <w:tab w:val="left" w:pos="720"/>
        </w:tabs>
        <w:spacing w:before="0" w:after="80"/>
        <w:ind w:left="720" w:hanging="360"/>
        <w:jc w:val="both"/>
      </w:pPr>
      <w:r>
        <w:t xml:space="preserve">4.	</w:t>
      </w:r>
      <w:r>
        <w:t xml:space="preserve">statutory filings;</w:t>
      </w:r>
    </w:p>
    <w:p>
      <w:pPr>
        <w:tabs>
          <w:tab w:val="left" w:pos="720"/>
        </w:tabs>
        <w:spacing w:before="0" w:after="80"/>
        <w:ind w:left="720" w:hanging="360"/>
        <w:jc w:val="both"/>
      </w:pPr>
      <w:r>
        <w:t xml:space="preserve">5.	</w:t>
      </w:r>
      <w:r>
        <w:t xml:space="preserve">whether the issue constituted private placement or public invitation;</w:t>
      </w:r>
    </w:p>
    <w:p>
      <w:pPr>
        <w:tabs>
          <w:tab w:val="left" w:pos="720"/>
        </w:tabs>
        <w:spacing w:before="0" w:after="80"/>
        <w:ind w:left="720" w:hanging="360"/>
        <w:jc w:val="both"/>
      </w:pPr>
      <w:r>
        <w:t xml:space="preserve">6.	</w:t>
      </w:r>
      <w:r>
        <w:t xml:space="preserve">number of persons to whom securities/instruments were offered;</w:t>
      </w:r>
    </w:p>
    <w:p>
      <w:pPr>
        <w:tabs>
          <w:tab w:val="left" w:pos="720"/>
        </w:tabs>
        <w:spacing w:before="0" w:after="80"/>
        <w:ind w:left="720" w:hanging="360"/>
        <w:jc w:val="both"/>
      </w:pPr>
      <w:r>
        <w:t xml:space="preserve">7.	</w:t>
      </w:r>
      <w:r>
        <w:t xml:space="preserve">whether a debenture trustee was required/appointed;</w:t>
      </w:r>
    </w:p>
    <w:p>
      <w:pPr>
        <w:tabs>
          <w:tab w:val="left" w:pos="720"/>
        </w:tabs>
        <w:spacing w:before="0" w:after="80"/>
        <w:ind w:left="720" w:hanging="360"/>
        <w:jc w:val="both"/>
      </w:pPr>
      <w:r>
        <w:t xml:space="preserve">8.	</w:t>
      </w:r>
      <w:r>
        <w:t xml:space="preserve">whether required debenture redemption arrangements existed;</w:t>
      </w:r>
    </w:p>
    <w:p>
      <w:pPr>
        <w:tabs>
          <w:tab w:val="left" w:pos="720"/>
        </w:tabs>
        <w:spacing w:before="0" w:after="80"/>
        <w:ind w:left="720" w:hanging="360"/>
        <w:jc w:val="both"/>
      </w:pPr>
      <w:r>
        <w:t xml:space="preserve">9.	</w:t>
      </w:r>
      <w:r>
        <w:t xml:space="preserve">whether interest was paid;</w:t>
      </w:r>
    </w:p>
    <w:p>
      <w:pPr>
        <w:tabs>
          <w:tab w:val="left" w:pos="720"/>
        </w:tabs>
        <w:spacing w:before="0" w:after="80"/>
        <w:ind w:left="720" w:hanging="360"/>
        <w:jc w:val="both"/>
      </w:pPr>
      <w:r>
        <w:t xml:space="preserve">10.	</w:t>
      </w:r>
      <w:r>
        <w:t xml:space="preserve">whether debentures were redeemed on maturity;</w:t>
      </w:r>
    </w:p>
    <w:p>
      <w:pPr>
        <w:tabs>
          <w:tab w:val="left" w:pos="720"/>
        </w:tabs>
        <w:spacing w:before="0" w:after="80"/>
        <w:ind w:left="720" w:hanging="360"/>
        <w:jc w:val="both"/>
      </w:pPr>
      <w:r>
        <w:t xml:space="preserve">11.	</w:t>
      </w:r>
      <w:r>
        <w:t xml:space="preserve">whether preference shares were validly issued and redeemable under law;</w:t>
      </w:r>
    </w:p>
    <w:p>
      <w:pPr>
        <w:tabs>
          <w:tab w:val="left" w:pos="720"/>
        </w:tabs>
        <w:spacing w:before="0" w:after="80"/>
        <w:ind w:left="720" w:hanging="360"/>
        <w:jc w:val="both"/>
      </w:pPr>
      <w:r>
        <w:t xml:space="preserve">12.	</w:t>
      </w:r>
      <w:r>
        <w:t xml:space="preserve">whether amounts raised as alleged preference-share capital were reflected in statutory filings;</w:t>
      </w:r>
    </w:p>
    <w:p>
      <w:pPr>
        <w:tabs>
          <w:tab w:val="left" w:pos="720"/>
        </w:tabs>
        <w:spacing w:before="0" w:after="80"/>
        <w:ind w:left="720" w:hanging="360"/>
        <w:jc w:val="both"/>
      </w:pPr>
      <w:r>
        <w:t xml:space="preserve">13.	</w:t>
      </w:r>
      <w:r>
        <w:t xml:space="preserve">whether share certificates/allotments were genuine and traceable in statutory registers; and</w:t>
      </w:r>
    </w:p>
    <w:p>
      <w:pPr>
        <w:tabs>
          <w:tab w:val="left" w:pos="720"/>
        </w:tabs>
        <w:spacing w:before="0" w:after="80"/>
        <w:ind w:left="720" w:hanging="360"/>
        <w:jc w:val="both"/>
      </w:pPr>
      <w:r>
        <w:t xml:space="preserve">14.	</w:t>
      </w:r>
      <w:r>
        <w:t xml:space="preserve">whether the instruments were merely printed/issued as devices to collect money without the mandatory corporate backing.</w:t>
      </w:r>
    </w:p>
    <w:p>
      <w:pPr>
        <w:jc w:val="both"/>
        <w:spacing w:before="0" w:after="120"/>
      </w:pPr>
      <w:r>
        <w:t xml:space="preserve">Under Section 71(8) of the Companies Act, a company is required to pay interest and redeem debentures in accordance with their terms, while Section 71 contains further provisions concerning debenture trustees and remedies for default.</w:t>
      </w:r>
    </w:p>
    <w:p>
      <w:pPr>
        <w:spacing w:before="240" w:after="120"/>
        <w:keepNext/>
      </w:pPr>
      <w:r>
        <w:rPr>
          <w:b/>
          <w:u w:val="single"/>
        </w:rPr>
        <w:t xml:space="preserve">VI. POSSIBLE UNREGULATED DEPOSIT SCHEME</w:t>
      </w:r>
    </w:p>
    <w:p>
      <w:pPr>
        <w:jc w:val="both"/>
        <w:spacing w:before="0" w:after="120"/>
      </w:pPr>
      <w:r>
        <w:t xml:space="preserve">The investigation must specifically examine the applicability of the Banning of Unregulated Deposit Schemes Act, 2019.</w:t>
      </w:r>
    </w:p>
    <w:p>
      <w:pPr>
        <w:jc w:val="both"/>
        <w:spacing w:before="0" w:after="120"/>
      </w:pPr>
      <w:r>
        <w:t xml:space="preserve">Merely describing money as an “advance”, “land advance”, “Deb”, “PS”, “venture amount” or by another nomenclature does not conclude its legal character.</w:t>
      </w:r>
    </w:p>
    <w:p>
      <w:pPr>
        <w:jc w:val="both"/>
        <w:spacing w:before="0" w:after="120"/>
      </w:pPr>
      <w:r>
        <w:t xml:space="preserve">The actual substance, representations, repayment obligation, fixed return, manner of collection, number of investors, regulatory registration and use of funds must be examined.</w:t>
      </w:r>
    </w:p>
    <w:p>
      <w:pPr>
        <w:jc w:val="both"/>
        <w:spacing w:before="0" w:after="120"/>
      </w:pPr>
      <w:r>
        <w:t xml:space="preserve">If the collections constitute an Unregulated Deposit Scheme prohibited under Section 3 of the BUDS Act, the consequences are serious.</w:t>
      </w:r>
    </w:p>
    <w:p>
      <w:pPr>
        <w:jc w:val="both"/>
        <w:spacing w:before="0" w:after="120"/>
      </w:pPr>
      <w:r>
        <w:t xml:space="preserve">Section 21 provides differentiated punishment for solicitation, acceptance and fraudulent default in repayment. Where prohibited deposits were accepted and fraudulent default occurred, Section 21(3) provides imprisonment from three years up to ten years, together with substantial fine.</w:t>
      </w:r>
    </w:p>
    <w:p>
      <w:pPr>
        <w:jc w:val="both"/>
        <w:spacing w:before="0" w:after="120"/>
      </w:pPr>
      <w:r>
        <w:t xml:space="preserve">Further, subject to the statutory exceptions specified in the Act, offences under the BUDS Act are cognizable and non-bailable.</w:t>
      </w:r>
    </w:p>
    <w:p>
      <w:pPr>
        <w:spacing w:before="240" w:after="120"/>
        <w:keepNext/>
      </w:pPr>
      <w:r>
        <w:rPr>
          <w:b/>
          <w:u w:val="single"/>
        </w:rPr>
        <w:t xml:space="preserve">VII. COMPANIES ACT — ACCEPTANCE OF DEPOSITS AND FRAUD</w:t>
      </w:r>
    </w:p>
    <w:p>
      <w:pPr>
        <w:jc w:val="both"/>
        <w:spacing w:before="0" w:after="120"/>
      </w:pPr>
      <w:r>
        <w:t xml:space="preserve">ROC/MCA records should be obtained for every concerned company to determine compliance with Sections 73 and 76 of the Companies Act, 2013 and the Companies (Acceptance of Deposits) Rules.</w:t>
      </w:r>
    </w:p>
    <w:p>
      <w:pPr>
        <w:jc w:val="both"/>
        <w:spacing w:before="0" w:after="120"/>
      </w:pPr>
      <w:r>
        <w:t xml:space="preserve">The investigation should determine:</w:t>
      </w:r>
    </w:p>
    <w:p>
      <w:pPr>
        <w:tabs>
          <w:tab w:val="left" w:pos="720"/>
        </w:tabs>
        <w:spacing w:before="0" w:after="80"/>
        <w:ind w:left="720" w:hanging="360"/>
        <w:jc w:val="both"/>
      </w:pPr>
      <w:r>
        <w:t xml:space="preserve">•	</w:t>
      </w:r>
      <w:r>
        <w:t xml:space="preserve">whether the respective company was legally entitled to accept the concerned money;</w:t>
      </w:r>
    </w:p>
    <w:p>
      <w:pPr>
        <w:tabs>
          <w:tab w:val="left" w:pos="720"/>
        </w:tabs>
        <w:spacing w:before="0" w:after="80"/>
        <w:ind w:left="720" w:hanging="360"/>
        <w:jc w:val="both"/>
      </w:pPr>
      <w:r>
        <w:t xml:space="preserve">•	</w:t>
      </w:r>
      <w:r>
        <w:t xml:space="preserve">whether the money came from members or the general public;</w:t>
      </w:r>
    </w:p>
    <w:p>
      <w:pPr>
        <w:tabs>
          <w:tab w:val="left" w:pos="720"/>
        </w:tabs>
        <w:spacing w:before="0" w:after="80"/>
        <w:ind w:left="720" w:hanging="360"/>
        <w:jc w:val="both"/>
      </w:pPr>
      <w:r>
        <w:t xml:space="preserve">•	</w:t>
      </w:r>
      <w:r>
        <w:t xml:space="preserve">whether statutory resolutions/circulars were issued;</w:t>
      </w:r>
    </w:p>
    <w:p>
      <w:pPr>
        <w:tabs>
          <w:tab w:val="left" w:pos="720"/>
        </w:tabs>
        <w:spacing w:before="0" w:after="80"/>
        <w:ind w:left="720" w:hanging="360"/>
        <w:jc w:val="both"/>
      </w:pPr>
      <w:r>
        <w:t xml:space="preserve">•	</w:t>
      </w:r>
      <w:r>
        <w:t xml:space="preserve">whether deposit returns were filed;</w:t>
      </w:r>
    </w:p>
    <w:p>
      <w:pPr>
        <w:tabs>
          <w:tab w:val="left" w:pos="720"/>
        </w:tabs>
        <w:spacing w:before="0" w:after="80"/>
        <w:ind w:left="720" w:hanging="360"/>
        <w:jc w:val="both"/>
      </w:pPr>
      <w:r>
        <w:t xml:space="preserve">•	</w:t>
      </w:r>
      <w:r>
        <w:t xml:space="preserve">whether prescribed security/credit-rating or other conditions were complied with;</w:t>
      </w:r>
    </w:p>
    <w:p>
      <w:pPr>
        <w:tabs>
          <w:tab w:val="left" w:pos="720"/>
        </w:tabs>
        <w:spacing w:before="0" w:after="80"/>
        <w:ind w:left="720" w:hanging="360"/>
        <w:jc w:val="both"/>
      </w:pPr>
      <w:r>
        <w:t xml:space="preserve">•	</w:t>
      </w:r>
      <w:r>
        <w:t xml:space="preserve">whether principal and interest became repayable;</w:t>
      </w:r>
    </w:p>
    <w:p>
      <w:pPr>
        <w:tabs>
          <w:tab w:val="left" w:pos="720"/>
        </w:tabs>
        <w:spacing w:before="0" w:after="80"/>
        <w:ind w:left="720" w:hanging="360"/>
        <w:jc w:val="both"/>
      </w:pPr>
      <w:r>
        <w:t xml:space="preserve">•	</w:t>
      </w:r>
      <w:r>
        <w:t xml:space="preserve">and whether there was deliberate fraudulent default.</w:t>
      </w:r>
    </w:p>
    <w:p>
      <w:pPr>
        <w:jc w:val="both"/>
        <w:spacing w:before="0" w:after="120"/>
      </w:pPr>
      <w:r>
        <w:t xml:space="preserve">Where Sections 73/76 are contravened, Section 76A provides serious consequences, including imprisonment of officers in default extending up to seven years together with substantial monetary penalties.</w:t>
      </w:r>
    </w:p>
    <w:p>
      <w:pPr>
        <w:jc w:val="both"/>
        <w:spacing w:before="0" w:after="120"/>
      </w:pPr>
      <w:r>
        <w:t xml:space="preserve">Where company affairs disclose acts, omissions, concealment or abuse of position committed with intent to deceive or obtain undue advantage, the applicability of Section 447 of the Companies Act — Fraud must also be examined.</w:t>
      </w:r>
    </w:p>
    <w:p>
      <w:pPr>
        <w:jc w:val="both"/>
        <w:spacing w:before="0" w:after="120"/>
      </w:pPr>
      <w:r>
        <w:t xml:space="preserve">Where the statutory threshold and ingredients under Section 447 are established, punishment may extend up to ten years, and where the fraud involves public interest the statute prescribes a minimum term in the circumstances specified by that provision.</w:t>
      </w:r>
    </w:p>
    <w:p>
      <w:pPr>
        <w:jc w:val="both"/>
        <w:spacing w:before="0" w:after="120"/>
      </w:pPr>
      <w:r>
        <w:t xml:space="preserve">Where knowingly false statements occur in statutory returns, reports, certificates, financial statements or other documents governed by the Companies Act, Section 448 read with Section 447 may also require examination.</w:t>
      </w:r>
    </w:p>
    <w:p>
      <w:pPr>
        <w:spacing w:before="240" w:after="120"/>
        <w:keepNext/>
      </w:pPr>
      <w:r>
        <w:rPr>
          <w:b/>
          <w:u w:val="single"/>
        </w:rPr>
        <w:t xml:space="preserve">VIII. CRIMINAL BREACH OF TRUST AND THE QUESTION OF SECTION 409 IPC</w:t>
      </w:r>
    </w:p>
    <w:p>
      <w:pPr>
        <w:jc w:val="both"/>
        <w:spacing w:before="0" w:after="120"/>
      </w:pPr>
      <w:r>
        <w:t xml:space="preserve">The investigation must determine the precise legal capacity in which investor money and original financial instruments were received and controlled.</w:t>
      </w:r>
    </w:p>
    <w:p>
      <w:pPr>
        <w:jc w:val="both"/>
        <w:spacing w:before="0" w:after="120"/>
      </w:pPr>
      <w:r>
        <w:t xml:space="preserve">Ordinary criminal breach of trust is punishable under Sections 405/406 IPC.</w:t>
      </w:r>
    </w:p>
    <w:p>
      <w:pPr>
        <w:jc w:val="both"/>
        <w:spacing w:before="0" w:after="120"/>
      </w:pPr>
      <w:r>
        <w:t xml:space="preserve">However, if the evidence establishes that entrusted money/property was dishonestly dealt with by a person falling within a capacity specifically enumerated in Section 409 IPC, including the relevant banker/merchant/factor/broker/attorney/agent category, the applicability of Section 409 must be examined.</w:t>
      </w:r>
    </w:p>
    <w:p>
      <w:pPr>
        <w:jc w:val="both"/>
        <w:spacing w:before="0" w:after="120"/>
      </w:pPr>
      <w:r>
        <w:t xml:space="preserve">This distinction is extremely important because Section 409 IPC provides punishment of imprisonment for life, or imprisonment which may extend to ten years, and fine.</w:t>
      </w:r>
    </w:p>
    <w:p>
      <w:pPr>
        <w:jc w:val="both"/>
        <w:spacing w:before="0" w:after="120"/>
      </w:pPr>
      <w:r>
        <w:t xml:space="preserve">The complainant does not ask that Section 409 be mechanically inserted merely because money was lost. The request is that the investigation specifically determine whether the accused received or exercised dominion over investor money/property in one of the qualifying fiduciary/business capacities and thereafter committed criminal breach of trust.</w:t>
      </w:r>
    </w:p>
    <w:p>
      <w:pPr>
        <w:jc w:val="both"/>
        <w:spacing w:before="0" w:after="120"/>
      </w:pPr>
      <w:r>
        <w:t xml:space="preserve">If those statutory ingredients are proved, the offence carrying life imprisonment should not be omitted.</w:t>
      </w:r>
    </w:p>
    <w:p>
      <w:pPr>
        <w:spacing w:before="240" w:after="120"/>
        <w:keepNext/>
      </w:pPr>
      <w:r>
        <w:rPr>
          <w:b/>
          <w:u w:val="single"/>
        </w:rPr>
        <w:t xml:space="preserve">IX. CHEATING AND DISHONEST INDUCEMENT</w:t>
      </w:r>
    </w:p>
    <w:p>
      <w:pPr>
        <w:jc w:val="both"/>
        <w:spacing w:before="0" w:after="120"/>
      </w:pPr>
      <w:r>
        <w:t xml:space="preserve">The material also requires investigation under Sections 415/417/418/420 IPC, particularly where it is established that money was obtained on representations which the accused knew from inception to be false, misleading, incomplete or incapable of performance.</w:t>
      </w:r>
    </w:p>
    <w:p>
      <w:pPr>
        <w:jc w:val="both"/>
        <w:spacing w:before="0" w:after="120"/>
      </w:pPr>
      <w:r>
        <w:t xml:space="preserve">The relevant issues include whether investors were induced:</w:t>
      </w:r>
    </w:p>
    <w:p>
      <w:pPr>
        <w:tabs>
          <w:tab w:val="left" w:pos="720"/>
        </w:tabs>
        <w:spacing w:before="0" w:after="80"/>
        <w:ind w:left="720" w:hanging="360"/>
        <w:jc w:val="both"/>
      </w:pPr>
      <w:r>
        <w:t xml:space="preserve">•	</w:t>
      </w:r>
      <w:r>
        <w:t xml:space="preserve">by promised fixed returns;</w:t>
      </w:r>
    </w:p>
    <w:p>
      <w:pPr>
        <w:tabs>
          <w:tab w:val="left" w:pos="720"/>
        </w:tabs>
        <w:spacing w:before="0" w:after="80"/>
        <w:ind w:left="720" w:hanging="360"/>
        <w:jc w:val="both"/>
      </w:pPr>
      <w:r>
        <w:t xml:space="preserve">•	</w:t>
      </w:r>
      <w:r>
        <w:t xml:space="preserve">by the DFI Trust name and goodwill;</w:t>
      </w:r>
    </w:p>
    <w:p>
      <w:pPr>
        <w:tabs>
          <w:tab w:val="left" w:pos="720"/>
        </w:tabs>
        <w:spacing w:before="0" w:after="80"/>
        <w:ind w:left="720" w:hanging="360"/>
        <w:jc w:val="both"/>
      </w:pPr>
      <w:r>
        <w:t xml:space="preserve">•	</w:t>
      </w:r>
      <w:r>
        <w:t xml:space="preserve">by supposed land/plot availability;</w:t>
      </w:r>
    </w:p>
    <w:p>
      <w:pPr>
        <w:tabs>
          <w:tab w:val="left" w:pos="720"/>
        </w:tabs>
        <w:spacing w:before="0" w:after="80"/>
        <w:ind w:left="720" w:hanging="360"/>
        <w:jc w:val="both"/>
      </w:pPr>
      <w:r>
        <w:t xml:space="preserve">•	</w:t>
      </w:r>
      <w:r>
        <w:t xml:space="preserve">by debenture/share documentation;</w:t>
      </w:r>
    </w:p>
    <w:p>
      <w:pPr>
        <w:tabs>
          <w:tab w:val="left" w:pos="720"/>
        </w:tabs>
        <w:spacing w:before="0" w:after="80"/>
        <w:ind w:left="720" w:hanging="360"/>
        <w:jc w:val="both"/>
      </w:pPr>
      <w:r>
        <w:t xml:space="preserve">•	</w:t>
      </w:r>
      <w:r>
        <w:t xml:space="preserve">by representations concerning maturity/refund;</w:t>
      </w:r>
    </w:p>
    <w:p>
      <w:pPr>
        <w:tabs>
          <w:tab w:val="left" w:pos="720"/>
        </w:tabs>
        <w:spacing w:before="0" w:after="80"/>
        <w:ind w:left="720" w:hanging="360"/>
        <w:jc w:val="both"/>
      </w:pPr>
      <w:r>
        <w:t xml:space="preserve">•	</w:t>
      </w:r>
      <w:r>
        <w:t xml:space="preserve">by requests to surrender originals on the assurance of repayment; or</w:t>
      </w:r>
    </w:p>
    <w:p>
      <w:pPr>
        <w:tabs>
          <w:tab w:val="left" w:pos="720"/>
        </w:tabs>
        <w:spacing w:before="0" w:after="80"/>
        <w:ind w:left="720" w:hanging="360"/>
        <w:jc w:val="both"/>
      </w:pPr>
      <w:r>
        <w:t xml:space="preserve">•	</w:t>
      </w:r>
      <w:r>
        <w:t xml:space="preserve">by other representations concerning security or safety of investments.</w:t>
      </w:r>
    </w:p>
    <w:p>
      <w:pPr>
        <w:jc w:val="both"/>
        <w:spacing w:before="0" w:after="120"/>
      </w:pPr>
      <w:r>
        <w:t xml:space="preserve">Section 420 IPC provides imprisonment extending up to seven years and fine where cheating dishonestly induces delivery of property.</w:t>
      </w:r>
    </w:p>
    <w:p>
      <w:pPr>
        <w:jc w:val="both"/>
        <w:spacing w:before="0" w:after="120"/>
      </w:pPr>
      <w:r>
        <w:t xml:space="preserve">Section 418 may also require examination where the person committing cheating knew that wrongful loss was likely to be caused to a person whose interests he was legally bound to protect.</w:t>
      </w:r>
    </w:p>
    <w:p>
      <w:pPr>
        <w:spacing w:before="240" w:after="120"/>
        <w:keepNext/>
      </w:pPr>
      <w:r>
        <w:rPr>
          <w:b/>
          <w:u w:val="single"/>
        </w:rPr>
        <w:t xml:space="preserve">X. CRIMINAL CONSPIRACY AND COMMON INTENTION</w:t>
      </w:r>
    </w:p>
    <w:p>
      <w:pPr>
        <w:jc w:val="both"/>
        <w:spacing w:before="0" w:after="120"/>
      </w:pPr>
      <w:r>
        <w:t xml:space="preserve">This is not alleged to be the work of one unidentified clerk or one accidental accounting default.</w:t>
      </w:r>
    </w:p>
    <w:p>
      <w:pPr>
        <w:jc w:val="both"/>
        <w:spacing w:before="0" w:after="120"/>
      </w:pPr>
      <w:r>
        <w:t xml:space="preserve">The material reveals transactions over an extended period, multiple entities, multiple kinds of investment documentation, common references to DFI, centralised interest calculations, multiple authorised persons, collection systems and common investor-facing representations.</w:t>
      </w:r>
    </w:p>
    <w:p>
      <w:pPr>
        <w:jc w:val="both"/>
        <w:spacing w:before="0" w:after="120"/>
      </w:pPr>
      <w:r>
        <w:t xml:space="preserve">Accordingly, the applicability of Section 120-B IPC — Criminal Conspiracy, together with Section 34 IPC — Common Intention, must be examined against each participant's actual role.</w:t>
      </w:r>
    </w:p>
    <w:p>
      <w:pPr>
        <w:spacing w:before="240" w:after="120"/>
        <w:keepNext/>
      </w:pPr>
      <w:r>
        <w:rPr>
          <w:b/>
          <w:u w:val="single"/>
        </w:rPr>
        <w:t xml:space="preserve">XI. VULNERABLE AND ELDERLY INVESTORS</w:t>
      </w:r>
    </w:p>
    <w:p>
      <w:pPr>
        <w:jc w:val="both"/>
        <w:spacing w:before="0" w:after="120"/>
      </w:pPr>
      <w:r>
        <w:t xml:space="preserve">VRPT specifically requests investigation into the method of mobilisation from elderly and vulnerable persons.</w:t>
      </w:r>
    </w:p>
    <w:p>
      <w:pPr>
        <w:jc w:val="both"/>
        <w:spacing w:before="0" w:after="120"/>
      </w:pPr>
      <w:r>
        <w:t xml:space="preserve">Information received from victims indicates that in several instances senior citizens, including persons stated to be above 85 years of age, were approached and collections/documentation were allegedly undertaken even at their residences.</w:t>
      </w:r>
    </w:p>
    <w:p>
      <w:pPr>
        <w:jc w:val="both"/>
        <w:spacing w:before="0" w:after="120"/>
      </w:pPr>
      <w:r>
        <w:t xml:space="preserve">This aspect should be verified investor by investor through statements, contemporaneous records, collection receipts, banking entries, witnesses and electronic communications.</w:t>
      </w:r>
    </w:p>
    <w:p>
      <w:pPr>
        <w:jc w:val="both"/>
        <w:spacing w:before="0" w:after="120"/>
      </w:pPr>
      <w:r>
        <w:t xml:space="preserve">If a deliberate strategy of targeting elderly persons because of their age, trust, limited mobility or dependence is established, the same is a highly material circumstance demonstrating the manner of inducement, abuse of confidence and vulnerability of the victim group.</w:t>
      </w:r>
    </w:p>
    <w:p>
      <w:pPr>
        <w:spacing w:before="240" w:after="120"/>
        <w:keepNext/>
      </w:pPr>
      <w:r>
        <w:rPr>
          <w:b/>
          <w:u w:val="single"/>
        </w:rPr>
        <w:t xml:space="preserve">XII. SCALE OF THE CASE</w:t>
      </w:r>
    </w:p>
    <w:p>
      <w:pPr>
        <w:jc w:val="both"/>
        <w:spacing w:before="0" w:after="120"/>
      </w:pPr>
      <w:r>
        <w:t xml:space="preserve">VRPT presently represents/holds material relating to approximately 1,198 investor-victims.</w:t>
      </w:r>
    </w:p>
    <w:p>
      <w:pPr>
        <w:jc w:val="both"/>
        <w:spacing w:before="0" w:after="120"/>
      </w:pPr>
      <w:r>
        <w:t xml:space="preserve">These documents constitute only examples.</w:t>
      </w:r>
    </w:p>
    <w:p>
      <w:pPr>
        <w:jc w:val="both"/>
        <w:spacing w:before="0" w:after="120"/>
      </w:pPr>
      <w:r>
        <w:t xml:space="preserve">There may be substantially more similarly situated investors, and the precise total number of victims and aggregate collection should be determined through:</w:t>
      </w:r>
    </w:p>
    <w:p>
      <w:pPr>
        <w:tabs>
          <w:tab w:val="left" w:pos="720"/>
        </w:tabs>
        <w:spacing w:before="0" w:after="80"/>
        <w:ind w:left="720" w:hanging="360"/>
        <w:jc w:val="both"/>
      </w:pPr>
      <w:r>
        <w:t xml:space="preserve">•	</w:t>
      </w:r>
      <w:r>
        <w:t xml:space="preserve">company books;</w:t>
      </w:r>
    </w:p>
    <w:p>
      <w:pPr>
        <w:tabs>
          <w:tab w:val="left" w:pos="720"/>
        </w:tabs>
        <w:spacing w:before="0" w:after="80"/>
        <w:ind w:left="720" w:hanging="360"/>
        <w:jc w:val="both"/>
      </w:pPr>
      <w:r>
        <w:t xml:space="preserve">•	</w:t>
      </w:r>
      <w:r>
        <w:t xml:space="preserve">seized computers;</w:t>
      </w:r>
    </w:p>
    <w:p>
      <w:pPr>
        <w:tabs>
          <w:tab w:val="left" w:pos="720"/>
        </w:tabs>
        <w:spacing w:before="0" w:after="80"/>
        <w:ind w:left="720" w:hanging="360"/>
        <w:jc w:val="both"/>
      </w:pPr>
      <w:r>
        <w:t xml:space="preserve">•	</w:t>
      </w:r>
      <w:r>
        <w:t xml:space="preserve">accounting software;</w:t>
      </w:r>
    </w:p>
    <w:p>
      <w:pPr>
        <w:tabs>
          <w:tab w:val="left" w:pos="720"/>
        </w:tabs>
        <w:spacing w:before="0" w:after="80"/>
        <w:ind w:left="720" w:hanging="360"/>
        <w:jc w:val="both"/>
      </w:pPr>
      <w:r>
        <w:t xml:space="preserve">•	</w:t>
      </w:r>
      <w:r>
        <w:t xml:space="preserve">bank accounts;</w:t>
      </w:r>
    </w:p>
    <w:p>
      <w:pPr>
        <w:tabs>
          <w:tab w:val="left" w:pos="720"/>
        </w:tabs>
        <w:spacing w:before="0" w:after="80"/>
        <w:ind w:left="720" w:hanging="360"/>
        <w:jc w:val="both"/>
      </w:pPr>
      <w:r>
        <w:t xml:space="preserve">•	</w:t>
      </w:r>
      <w:r>
        <w:t xml:space="preserve">TDS records;</w:t>
      </w:r>
    </w:p>
    <w:p>
      <w:pPr>
        <w:tabs>
          <w:tab w:val="left" w:pos="720"/>
        </w:tabs>
        <w:spacing w:before="0" w:after="80"/>
        <w:ind w:left="720" w:hanging="360"/>
        <w:jc w:val="both"/>
      </w:pPr>
      <w:r>
        <w:t xml:space="preserve">•	</w:t>
      </w:r>
      <w:r>
        <w:t xml:space="preserve">investor ledgers;</w:t>
      </w:r>
    </w:p>
    <w:p>
      <w:pPr>
        <w:tabs>
          <w:tab w:val="left" w:pos="720"/>
        </w:tabs>
        <w:spacing w:before="0" w:after="80"/>
        <w:ind w:left="720" w:hanging="360"/>
        <w:jc w:val="both"/>
      </w:pPr>
      <w:r>
        <w:t xml:space="preserve">•	</w:t>
      </w:r>
      <w:r>
        <w:t xml:space="preserve">receipts;</w:t>
      </w:r>
    </w:p>
    <w:p>
      <w:pPr>
        <w:tabs>
          <w:tab w:val="left" w:pos="720"/>
        </w:tabs>
        <w:spacing w:before="0" w:after="80"/>
        <w:ind w:left="720" w:hanging="360"/>
        <w:jc w:val="both"/>
      </w:pPr>
      <w:r>
        <w:t xml:space="preserve">•	</w:t>
      </w:r>
      <w:r>
        <w:t xml:space="preserve">bond/debenture registers;</w:t>
      </w:r>
    </w:p>
    <w:p>
      <w:pPr>
        <w:tabs>
          <w:tab w:val="left" w:pos="720"/>
        </w:tabs>
        <w:spacing w:before="0" w:after="80"/>
        <w:ind w:left="720" w:hanging="360"/>
        <w:jc w:val="both"/>
      </w:pPr>
      <w:r>
        <w:t xml:space="preserve">•	</w:t>
      </w:r>
      <w:r>
        <w:t xml:space="preserve">share registers;</w:t>
      </w:r>
    </w:p>
    <w:p>
      <w:pPr>
        <w:tabs>
          <w:tab w:val="left" w:pos="720"/>
        </w:tabs>
        <w:spacing w:before="0" w:after="80"/>
        <w:ind w:left="720" w:hanging="360"/>
        <w:jc w:val="both"/>
      </w:pPr>
      <w:r>
        <w:t xml:space="preserve">•	</w:t>
      </w:r>
      <w:r>
        <w:t xml:space="preserve">land venture registers;</w:t>
      </w:r>
    </w:p>
    <w:p>
      <w:pPr>
        <w:tabs>
          <w:tab w:val="left" w:pos="720"/>
        </w:tabs>
        <w:spacing w:before="0" w:after="80"/>
        <w:ind w:left="720" w:hanging="360"/>
        <w:jc w:val="both"/>
      </w:pPr>
      <w:r>
        <w:t xml:space="preserve">•	</w:t>
      </w:r>
      <w:r>
        <w:t xml:space="preserve">income-tax filings;</w:t>
      </w:r>
    </w:p>
    <w:p>
      <w:pPr>
        <w:tabs>
          <w:tab w:val="left" w:pos="720"/>
        </w:tabs>
        <w:spacing w:before="0" w:after="80"/>
        <w:ind w:left="720" w:hanging="360"/>
        <w:jc w:val="both"/>
      </w:pPr>
      <w:r>
        <w:t xml:space="preserve">•	</w:t>
      </w:r>
      <w:r>
        <w:t xml:space="preserve">ROC filings; and</w:t>
      </w:r>
    </w:p>
    <w:p>
      <w:pPr>
        <w:tabs>
          <w:tab w:val="left" w:pos="720"/>
        </w:tabs>
        <w:spacing w:before="0" w:after="80"/>
        <w:ind w:left="720" w:hanging="360"/>
        <w:jc w:val="both"/>
      </w:pPr>
      <w:r>
        <w:t xml:space="preserve">•	</w:t>
      </w:r>
      <w:r>
        <w:t xml:space="preserve">earlier CCS investigation material.</w:t>
      </w:r>
    </w:p>
    <w:p>
      <w:pPr>
        <w:jc w:val="both"/>
        <w:spacing w:before="0" w:after="120"/>
      </w:pPr>
      <w:r>
        <w:t xml:space="preserve">This is therefore required to be investigated as an alleged systemic financial scheme, not merely as 1,198 unrelated bilateral disputes.</w:t>
      </w:r>
    </w:p>
    <w:p>
      <w:pPr>
        <w:spacing w:before="240" w:after="120"/>
        <w:keepNext/>
      </w:pPr>
      <w:r>
        <w:rPr>
          <w:b/>
          <w:u w:val="single"/>
        </w:rPr>
        <w:t xml:space="preserve">XIII. PREVIOUS FIR / CRIME NO.158/2023</w:t>
      </w:r>
    </w:p>
    <w:p>
      <w:pPr>
        <w:jc w:val="both"/>
        <w:spacing w:before="0" w:after="120"/>
      </w:pPr>
      <w:r>
        <w:t xml:space="preserve">It is respectfully submitted that a previous FIR referred to by the victims as Crime/FIR No.158/2023 is stated to have arisen from complaints/issues relating to approximately 24 persons.</w:t>
      </w:r>
    </w:p>
    <w:p>
      <w:pPr>
        <w:jc w:val="both"/>
        <w:spacing w:before="0" w:after="120"/>
      </w:pPr>
      <w:r>
        <w:t xml:space="preserve">The present complaint is being submitted by VRPT in respect of a vastly larger body of victims and documentary transactions, including distinct categories of alleged acts and instruments.</w:t>
      </w:r>
    </w:p>
    <w:p>
      <w:pPr>
        <w:jc w:val="both"/>
        <w:spacing w:before="0" w:after="120"/>
      </w:pPr>
      <w:r>
        <w:t xml:space="preserve">The Investigating Agency may verify the correct FIR number, contents, complainants, period, accused, transactions and offences already covered by that case.</w:t>
      </w:r>
    </w:p>
    <w:p>
      <w:pPr>
        <w:jc w:val="both"/>
        <w:spacing w:before="0" w:after="120"/>
      </w:pPr>
      <w:r>
        <w:t xml:space="preserve">The complainant respectfully requests that this complaint not be rejected merely by referring to the existence of an earlier FIR.</w:t>
      </w:r>
    </w:p>
    <w:p>
      <w:pPr>
        <w:jc w:val="both"/>
        <w:spacing w:before="0" w:after="120"/>
      </w:pPr>
      <w:r>
        <w:t xml:space="preserve">If, upon legal examination, any component forms part of the same transaction as an existing crime, this complaint and its documents may be treated as further information/material and comprehensively investigated in that crime.</w:t>
      </w:r>
    </w:p>
    <w:p>
      <w:pPr>
        <w:jc w:val="both"/>
        <w:spacing w:before="0" w:after="120"/>
      </w:pPr>
      <w:r>
        <w:t xml:space="preserve">If the investigation identifies legally distinct transactions, schemes, victim groups or offences capable of separate registration under the principles governing multiple FIRs, appropriate separate FIR(s) may be registered in accordance with law.</w:t>
      </w:r>
    </w:p>
    <w:p>
      <w:pPr>
        <w:jc w:val="both"/>
        <w:spacing w:before="0" w:after="120"/>
      </w:pPr>
      <w:r>
        <w:t xml:space="preserve">The object of this complaint is comprehensive investigation of the entire alleged scheme without duplication prohibited by law and without leaving hundreds of victims outside the investigative process merely because an earlier small group approached the police.</w:t>
      </w:r>
    </w:p>
    <w:p>
      <w:pPr>
        <w:spacing w:before="240" w:after="120"/>
        <w:keepNext/>
      </w:pPr>
      <w:r>
        <w:rPr>
          <w:b/>
          <w:u w:val="single"/>
        </w:rPr>
        <w:t xml:space="preserve">APPLICABLE PENAL / SPECIAL LAW PROVISIONS REQUIRING EXAMINATION</w:t>
      </w:r>
    </w:p>
    <w:tbl>
      <w:tblPr>
        <w:tblW w:w="9626" w:type="dxa"/>
        <w:tblBorders>
          <w:top w:val="single" w:sz="4" w:color="000000"/>
          <w:left w:val="single" w:sz="4" w:color="000000"/>
          <w:bottom w:val="single" w:sz="4" w:color="000000"/>
          <w:right w:val="single" w:sz="4" w:color="000000"/>
          <w:insideH w:val="single" w:sz="4" w:color="000000"/>
          <w:insideV w:val="single" w:sz="4" w:color="000000"/>
        </w:tblBorders>
        <w:tblCellMar>
          <w:left w:w="80" w:type="dxa"/>
          <w:right w:w="80" w:type="dxa"/>
        </w:tblCellMar>
      </w:tblPr>
      <w:tblGrid>
        <w:gridCol w:w="2600"/>
        <w:gridCol w:w="3600"/>
        <w:gridCol w:w="3426"/>
      </w:tblGrid>
      <w:tr>
        <w:trPr>
          <w:tblHeader/>
        </w:trPr>
        <w:tc>
          <w:tcPr>
            <w:tcW w:w="2600" w:type="dxa"/>
            <w:shd w:val="clear" w:color="auto" w:fill="EFEFEF"/>
          </w:tcPr>
          <w:p>
            <w:pPr>
              <w:spacing w:before="0" w:after="0"/>
            </w:pPr>
            <w:r>
              <w:rPr>
                <w:b/>
                <w:sz w:val="20"/>
                <w:szCs w:val="20"/>
              </w:rPr>
              <w:t xml:space="preserve">Provision</w:t>
            </w:r>
          </w:p>
        </w:tc>
        <w:tc>
          <w:tcPr>
            <w:tcW w:w="3600" w:type="dxa"/>
            <w:shd w:val="clear" w:color="auto" w:fill="EFEFEF"/>
          </w:tcPr>
          <w:p>
            <w:pPr>
              <w:spacing w:before="0" w:after="0"/>
            </w:pPr>
            <w:r>
              <w:rPr>
                <w:b/>
                <w:sz w:val="20"/>
                <w:szCs w:val="20"/>
              </w:rPr>
              <w:t xml:space="preserve">Nature of offence / relevance</w:t>
            </w:r>
          </w:p>
        </w:tc>
        <w:tc>
          <w:tcPr>
            <w:tcW w:w="3426" w:type="dxa"/>
            <w:shd w:val="clear" w:color="auto" w:fill="EFEFEF"/>
          </w:tcPr>
          <w:p>
            <w:pPr>
              <w:spacing w:before="0" w:after="0"/>
            </w:pPr>
            <w:r>
              <w:rPr>
                <w:b/>
                <w:sz w:val="20"/>
                <w:szCs w:val="20"/>
              </w:rPr>
              <w:t xml:space="preserve">Punishment / consequence</w:t>
            </w:r>
          </w:p>
        </w:tc>
      </w:tr>
      <w:tr>
        <w:tc>
          <w:tcPr>
            <w:tcW w:w="2600" w:type="dxa"/>
          </w:tcPr>
          <w:p>
            <w:pPr>
              <w:spacing w:before="0" w:after="0"/>
            </w:pPr>
            <w:r>
              <w:rPr>
                <w:sz w:val="20"/>
                <w:szCs w:val="20"/>
              </w:rPr>
              <w:t xml:space="preserve">IPC Sec. 405/406</w:t>
            </w:r>
          </w:p>
        </w:tc>
        <w:tc>
          <w:tcPr>
            <w:tcW w:w="3600" w:type="dxa"/>
          </w:tcPr>
          <w:p>
            <w:pPr>
              <w:spacing w:before="0" w:after="0"/>
            </w:pPr>
            <w:r>
              <w:rPr>
                <w:sz w:val="20"/>
                <w:szCs w:val="20"/>
              </w:rPr>
              <w:t xml:space="preserve">Criminal breach of trust; entrustment followed by dishonest misappropriation/use/retention</w:t>
            </w:r>
          </w:p>
        </w:tc>
        <w:tc>
          <w:tcPr>
            <w:tcW w:w="3426" w:type="dxa"/>
          </w:tcPr>
          <w:p>
            <w:pPr>
              <w:spacing w:before="0" w:after="0"/>
            </w:pPr>
            <w:r>
              <w:rPr>
                <w:sz w:val="20"/>
                <w:szCs w:val="20"/>
              </w:rPr>
              <w:t xml:space="preserve">Up to 3 years, or fine, or both</w:t>
            </w:r>
          </w:p>
        </w:tc>
      </w:tr>
      <w:tr>
        <w:tc>
          <w:tcPr>
            <w:tcW w:w="2600" w:type="dxa"/>
          </w:tcPr>
          <w:p>
            <w:pPr>
              <w:spacing w:before="0" w:after="0"/>
            </w:pPr>
            <w:r>
              <w:rPr>
                <w:sz w:val="20"/>
                <w:szCs w:val="20"/>
              </w:rPr>
              <w:t xml:space="preserve">IPC Sec. 409</w:t>
            </w:r>
          </w:p>
        </w:tc>
        <w:tc>
          <w:tcPr>
            <w:tcW w:w="3600" w:type="dxa"/>
          </w:tcPr>
          <w:p>
            <w:pPr>
              <w:spacing w:before="0" w:after="0"/>
            </w:pPr>
            <w:r>
              <w:rPr>
                <w:sz w:val="20"/>
                <w:szCs w:val="20"/>
              </w:rPr>
              <w:t xml:space="preserve">Criminal breach of trust by person acting in a qualifying statutory capacity such as banker/merchant/factor/broker/attorney/agent etc., if facts establish such capacity</w:t>
            </w:r>
          </w:p>
        </w:tc>
        <w:tc>
          <w:tcPr>
            <w:tcW w:w="3426" w:type="dxa"/>
          </w:tcPr>
          <w:p>
            <w:pPr>
              <w:spacing w:before="0" w:after="0"/>
            </w:pPr>
            <w:r>
              <w:rPr>
                <w:sz w:val="20"/>
                <w:szCs w:val="20"/>
              </w:rPr>
              <w:t xml:space="preserve">Imprisonment for life, or imprisonment up to 10 years, and fine</w:t>
            </w:r>
          </w:p>
        </w:tc>
      </w:tr>
      <w:tr>
        <w:tc>
          <w:tcPr>
            <w:tcW w:w="2600" w:type="dxa"/>
          </w:tcPr>
          <w:p>
            <w:pPr>
              <w:spacing w:before="0" w:after="0"/>
            </w:pPr>
            <w:r>
              <w:rPr>
                <w:sz w:val="20"/>
                <w:szCs w:val="20"/>
              </w:rPr>
              <w:t xml:space="preserve">IPC Sec. 417</w:t>
            </w:r>
          </w:p>
        </w:tc>
        <w:tc>
          <w:tcPr>
            <w:tcW w:w="3600" w:type="dxa"/>
          </w:tcPr>
          <w:p>
            <w:pPr>
              <w:spacing w:before="0" w:after="0"/>
            </w:pPr>
            <w:r>
              <w:rPr>
                <w:sz w:val="20"/>
                <w:szCs w:val="20"/>
              </w:rPr>
              <w:t xml:space="preserve">Cheating</w:t>
            </w:r>
          </w:p>
        </w:tc>
        <w:tc>
          <w:tcPr>
            <w:tcW w:w="3426" w:type="dxa"/>
          </w:tcPr>
          <w:p>
            <w:pPr>
              <w:spacing w:before="0" w:after="0"/>
            </w:pPr>
            <w:r>
              <w:rPr>
                <w:sz w:val="20"/>
                <w:szCs w:val="20"/>
              </w:rPr>
              <w:t xml:space="preserve">Up to 1 year, or fine, or both</w:t>
            </w:r>
          </w:p>
        </w:tc>
      </w:tr>
      <w:tr>
        <w:tc>
          <w:tcPr>
            <w:tcW w:w="2600" w:type="dxa"/>
          </w:tcPr>
          <w:p>
            <w:pPr>
              <w:spacing w:before="0" w:after="0"/>
            </w:pPr>
            <w:r>
              <w:rPr>
                <w:sz w:val="20"/>
                <w:szCs w:val="20"/>
              </w:rPr>
              <w:t xml:space="preserve">IPC Sec. 418</w:t>
            </w:r>
          </w:p>
        </w:tc>
        <w:tc>
          <w:tcPr>
            <w:tcW w:w="3600" w:type="dxa"/>
          </w:tcPr>
          <w:p>
            <w:pPr>
              <w:spacing w:before="0" w:after="0"/>
            </w:pPr>
            <w:r>
              <w:rPr>
                <w:sz w:val="20"/>
                <w:szCs w:val="20"/>
              </w:rPr>
              <w:t xml:space="preserve">Cheating with knowledge that wrongful loss may occur to person whose interest offender was bound to protect</w:t>
            </w:r>
          </w:p>
        </w:tc>
        <w:tc>
          <w:tcPr>
            <w:tcW w:w="3426" w:type="dxa"/>
          </w:tcPr>
          <w:p>
            <w:pPr>
              <w:spacing w:before="0" w:after="0"/>
            </w:pPr>
            <w:r>
              <w:rPr>
                <w:sz w:val="20"/>
                <w:szCs w:val="20"/>
              </w:rPr>
              <w:t xml:space="preserve">Up to 3 years, or fine, or both</w:t>
            </w:r>
          </w:p>
        </w:tc>
      </w:tr>
      <w:tr>
        <w:tc>
          <w:tcPr>
            <w:tcW w:w="2600" w:type="dxa"/>
          </w:tcPr>
          <w:p>
            <w:pPr>
              <w:spacing w:before="0" w:after="0"/>
            </w:pPr>
            <w:r>
              <w:rPr>
                <w:sz w:val="20"/>
                <w:szCs w:val="20"/>
              </w:rPr>
              <w:t xml:space="preserve">IPC Sec. 420</w:t>
            </w:r>
          </w:p>
        </w:tc>
        <w:tc>
          <w:tcPr>
            <w:tcW w:w="3600" w:type="dxa"/>
          </w:tcPr>
          <w:p>
            <w:pPr>
              <w:spacing w:before="0" w:after="0"/>
            </w:pPr>
            <w:r>
              <w:rPr>
                <w:sz w:val="20"/>
                <w:szCs w:val="20"/>
              </w:rPr>
              <w:t xml:space="preserve">Cheating and dishonestly inducing delivery of money/property</w:t>
            </w:r>
          </w:p>
        </w:tc>
        <w:tc>
          <w:tcPr>
            <w:tcW w:w="3426" w:type="dxa"/>
          </w:tcPr>
          <w:p>
            <w:pPr>
              <w:spacing w:before="0" w:after="0"/>
            </w:pPr>
            <w:r>
              <w:rPr>
                <w:sz w:val="20"/>
                <w:szCs w:val="20"/>
              </w:rPr>
              <w:t xml:space="preserve">Up to 7 years + fine</w:t>
            </w:r>
          </w:p>
        </w:tc>
      </w:tr>
      <w:tr>
        <w:tc>
          <w:tcPr>
            <w:tcW w:w="2600" w:type="dxa"/>
          </w:tcPr>
          <w:p>
            <w:pPr>
              <w:spacing w:before="0" w:after="0"/>
            </w:pPr>
            <w:r>
              <w:rPr>
                <w:sz w:val="20"/>
                <w:szCs w:val="20"/>
              </w:rPr>
              <w:t xml:space="preserve">IPC Sec. 120-B</w:t>
            </w:r>
          </w:p>
        </w:tc>
        <w:tc>
          <w:tcPr>
            <w:tcW w:w="3600" w:type="dxa"/>
          </w:tcPr>
          <w:p>
            <w:pPr>
              <w:spacing w:before="0" w:after="0"/>
            </w:pPr>
            <w:r>
              <w:rPr>
                <w:sz w:val="20"/>
                <w:szCs w:val="20"/>
              </w:rPr>
              <w:t xml:space="preserve">Criminal conspiracy</w:t>
            </w:r>
          </w:p>
        </w:tc>
        <w:tc>
          <w:tcPr>
            <w:tcW w:w="3426" w:type="dxa"/>
          </w:tcPr>
          <w:p>
            <w:pPr>
              <w:spacing w:before="0" w:after="0"/>
            </w:pPr>
            <w:r>
              <w:rPr>
                <w:sz w:val="20"/>
                <w:szCs w:val="20"/>
              </w:rPr>
              <w:t xml:space="preserve">Depending upon object offence; for serious offences, punishment follows statutory conspiracy/abetment framework</w:t>
            </w:r>
          </w:p>
        </w:tc>
      </w:tr>
      <w:tr>
        <w:tc>
          <w:tcPr>
            <w:tcW w:w="2600" w:type="dxa"/>
          </w:tcPr>
          <w:p>
            <w:pPr>
              <w:spacing w:before="0" w:after="0"/>
            </w:pPr>
            <w:r>
              <w:rPr>
                <w:sz w:val="20"/>
                <w:szCs w:val="20"/>
              </w:rPr>
              <w:t xml:space="preserve">IPC Sec. 34</w:t>
            </w:r>
          </w:p>
        </w:tc>
        <w:tc>
          <w:tcPr>
            <w:tcW w:w="3600" w:type="dxa"/>
          </w:tcPr>
          <w:p>
            <w:pPr>
              <w:spacing w:before="0" w:after="0"/>
            </w:pPr>
            <w:r>
              <w:rPr>
                <w:sz w:val="20"/>
                <w:szCs w:val="20"/>
              </w:rPr>
              <w:t xml:space="preserve">Acts done in furtherance of common intention</w:t>
            </w:r>
          </w:p>
        </w:tc>
        <w:tc>
          <w:tcPr>
            <w:tcW w:w="3426" w:type="dxa"/>
          </w:tcPr>
          <w:p>
            <w:pPr>
              <w:spacing w:before="0" w:after="0"/>
            </w:pPr>
            <w:r>
              <w:rPr>
                <w:sz w:val="20"/>
                <w:szCs w:val="20"/>
              </w:rPr>
              <w:t xml:space="preserve">Joint liability; no independent sentence</w:t>
            </w:r>
          </w:p>
        </w:tc>
      </w:tr>
      <w:tr>
        <w:tc>
          <w:tcPr>
            <w:tcW w:w="2600" w:type="dxa"/>
          </w:tcPr>
          <w:p>
            <w:pPr>
              <w:spacing w:before="0" w:after="0"/>
            </w:pPr>
            <w:r>
              <w:rPr>
                <w:sz w:val="20"/>
                <w:szCs w:val="20"/>
              </w:rPr>
              <w:t xml:space="preserve">Telangana Protection of Depositors of Financial Establishments Act, 1999 — Sec. 5</w:t>
            </w:r>
          </w:p>
        </w:tc>
        <w:tc>
          <w:tcPr>
            <w:tcW w:w="3600" w:type="dxa"/>
          </w:tcPr>
          <w:p>
            <w:pPr>
              <w:spacing w:before="0" w:after="0"/>
            </w:pPr>
            <w:r>
              <w:rPr>
                <w:sz w:val="20"/>
                <w:szCs w:val="20"/>
              </w:rPr>
              <w:t xml:space="preserve">Default by financial establishment in returning qualifying deposit or agreed interest</w:t>
            </w:r>
          </w:p>
        </w:tc>
        <w:tc>
          <w:tcPr>
            <w:tcW w:w="3426" w:type="dxa"/>
          </w:tcPr>
          <w:p>
            <w:pPr>
              <w:spacing w:before="0" w:after="0"/>
            </w:pPr>
            <w:r>
              <w:rPr>
                <w:sz w:val="20"/>
                <w:szCs w:val="20"/>
              </w:rPr>
              <w:t xml:space="preserve">Responsible promoter/manager/member may face imprisonment extending up to 10 years, besides fine, subject to statutory ingredients</w:t>
            </w:r>
          </w:p>
        </w:tc>
      </w:tr>
      <w:tr>
        <w:tc>
          <w:tcPr>
            <w:tcW w:w="2600" w:type="dxa"/>
          </w:tcPr>
          <w:p>
            <w:pPr>
              <w:spacing w:before="0" w:after="0"/>
            </w:pPr>
            <w:r>
              <w:rPr>
                <w:sz w:val="20"/>
                <w:szCs w:val="20"/>
              </w:rPr>
              <w:t xml:space="preserve">TSPDFE Act — Sec. 3</w:t>
            </w:r>
          </w:p>
        </w:tc>
        <w:tc>
          <w:tcPr>
            <w:tcW w:w="3600" w:type="dxa"/>
          </w:tcPr>
          <w:p>
            <w:pPr>
              <w:spacing w:before="0" w:after="0"/>
            </w:pPr>
            <w:r>
              <w:rPr>
                <w:sz w:val="20"/>
                <w:szCs w:val="20"/>
              </w:rPr>
              <w:t xml:space="preserve">Attachment of money/property where statutory conditions concerning default/fraud are satisfied</w:t>
            </w:r>
          </w:p>
        </w:tc>
        <w:tc>
          <w:tcPr>
            <w:tcW w:w="3426" w:type="dxa"/>
          </w:tcPr>
          <w:p>
            <w:pPr>
              <w:spacing w:before="0" w:after="0"/>
            </w:pPr>
            <w:r>
              <w:rPr>
                <w:sz w:val="20"/>
                <w:szCs w:val="20"/>
              </w:rPr>
              <w:t xml:space="preserve">Attachment/recovery mechanism; not independently a punishment section</w:t>
            </w:r>
          </w:p>
        </w:tc>
      </w:tr>
      <w:tr>
        <w:tc>
          <w:tcPr>
            <w:tcW w:w="2600" w:type="dxa"/>
          </w:tcPr>
          <w:p>
            <w:pPr>
              <w:spacing w:before="0" w:after="0"/>
            </w:pPr>
            <w:r>
              <w:rPr>
                <w:sz w:val="20"/>
                <w:szCs w:val="20"/>
              </w:rPr>
              <w:t xml:space="preserve">BUDS Act, 2019 — Sec. 3 read with Sec. 21(1)</w:t>
            </w:r>
          </w:p>
        </w:tc>
        <w:tc>
          <w:tcPr>
            <w:tcW w:w="3600" w:type="dxa"/>
          </w:tcPr>
          <w:p>
            <w:pPr>
              <w:spacing w:before="0" w:after="0"/>
            </w:pPr>
            <w:r>
              <w:rPr>
                <w:sz w:val="20"/>
                <w:szCs w:val="20"/>
              </w:rPr>
              <w:t xml:space="preserve">Soliciting deposits under prohibited unregulated deposit scheme</w:t>
            </w:r>
          </w:p>
        </w:tc>
        <w:tc>
          <w:tcPr>
            <w:tcW w:w="3426" w:type="dxa"/>
          </w:tcPr>
          <w:p>
            <w:pPr>
              <w:spacing w:before="0" w:after="0"/>
            </w:pPr>
            <w:r>
              <w:rPr>
                <w:sz w:val="20"/>
                <w:szCs w:val="20"/>
              </w:rPr>
              <w:t xml:space="preserve">1–5 years + fine ₹2 lakh–₹10 lakh</w:t>
            </w:r>
          </w:p>
        </w:tc>
      </w:tr>
      <w:tr>
        <w:tc>
          <w:tcPr>
            <w:tcW w:w="2600" w:type="dxa"/>
          </w:tcPr>
          <w:p>
            <w:pPr>
              <w:spacing w:before="0" w:after="0"/>
            </w:pPr>
            <w:r>
              <w:rPr>
                <w:sz w:val="20"/>
                <w:szCs w:val="20"/>
              </w:rPr>
              <w:t xml:space="preserve">BUDS Act — Sec. 21(2)</w:t>
            </w:r>
          </w:p>
        </w:tc>
        <w:tc>
          <w:tcPr>
            <w:tcW w:w="3600" w:type="dxa"/>
          </w:tcPr>
          <w:p>
            <w:pPr>
              <w:spacing w:before="0" w:after="0"/>
            </w:pPr>
            <w:r>
              <w:rPr>
                <w:sz w:val="20"/>
                <w:szCs w:val="20"/>
              </w:rPr>
              <w:t xml:space="preserve">Accepting prohibited unregulated deposits</w:t>
            </w:r>
          </w:p>
        </w:tc>
        <w:tc>
          <w:tcPr>
            <w:tcW w:w="3426" w:type="dxa"/>
          </w:tcPr>
          <w:p>
            <w:pPr>
              <w:spacing w:before="0" w:after="0"/>
            </w:pPr>
            <w:r>
              <w:rPr>
                <w:sz w:val="20"/>
                <w:szCs w:val="20"/>
              </w:rPr>
              <w:t xml:space="preserve">2–7 years + fine ₹3 lakh–₹10 lakh</w:t>
            </w:r>
          </w:p>
        </w:tc>
      </w:tr>
      <w:tr>
        <w:tc>
          <w:tcPr>
            <w:tcW w:w="2600" w:type="dxa"/>
          </w:tcPr>
          <w:p>
            <w:pPr>
              <w:spacing w:before="0" w:after="0"/>
            </w:pPr>
            <w:r>
              <w:rPr>
                <w:sz w:val="20"/>
                <w:szCs w:val="20"/>
              </w:rPr>
              <w:t xml:space="preserve">BUDS Act — Sec. 21(3)</w:t>
            </w:r>
          </w:p>
        </w:tc>
        <w:tc>
          <w:tcPr>
            <w:tcW w:w="3600" w:type="dxa"/>
          </w:tcPr>
          <w:p>
            <w:pPr>
              <w:spacing w:before="0" w:after="0"/>
            </w:pPr>
            <w:r>
              <w:rPr>
                <w:sz w:val="20"/>
                <w:szCs w:val="20"/>
              </w:rPr>
              <w:t xml:space="preserve">Accepting prohibited deposits and fraudulently defaulting in repayment</w:t>
            </w:r>
          </w:p>
        </w:tc>
        <w:tc>
          <w:tcPr>
            <w:tcW w:w="3426" w:type="dxa"/>
          </w:tcPr>
          <w:p>
            <w:pPr>
              <w:spacing w:before="0" w:after="0"/>
            </w:pPr>
            <w:r>
              <w:rPr>
                <w:sz w:val="20"/>
                <w:szCs w:val="20"/>
              </w:rPr>
              <w:t xml:space="preserve">3–10 years + minimum ₹5 lakh fine, extendable as provided by statute</w:t>
            </w:r>
          </w:p>
        </w:tc>
      </w:tr>
      <w:tr>
        <w:tc>
          <w:tcPr>
            <w:tcW w:w="2600" w:type="dxa"/>
          </w:tcPr>
          <w:p>
            <w:pPr>
              <w:spacing w:before="0" w:after="0"/>
            </w:pPr>
            <w:r>
              <w:rPr>
                <w:sz w:val="20"/>
                <w:szCs w:val="20"/>
              </w:rPr>
              <w:t xml:space="preserve">BUDS Act — Sec. 25</w:t>
            </w:r>
          </w:p>
        </w:tc>
        <w:tc>
          <w:tcPr>
            <w:tcW w:w="3600" w:type="dxa"/>
          </w:tcPr>
          <w:p>
            <w:pPr>
              <w:spacing w:before="0" w:after="0"/>
            </w:pPr>
            <w:r>
              <w:rPr>
                <w:sz w:val="20"/>
                <w:szCs w:val="20"/>
              </w:rPr>
              <w:t xml:space="preserve">Liability of persons in charge / directors/managers/promoters etc. where offence is by non-individual deposit taker</w:t>
            </w:r>
          </w:p>
        </w:tc>
        <w:tc>
          <w:tcPr>
            <w:tcW w:w="3426" w:type="dxa"/>
          </w:tcPr>
          <w:p>
            <w:pPr>
              <w:spacing w:before="0" w:after="0"/>
            </w:pPr>
            <w:r>
              <w:rPr>
                <w:sz w:val="20"/>
                <w:szCs w:val="20"/>
              </w:rPr>
              <w:t xml:space="preserve">Liability follows substantive BUDS offence subject to statutory defences/requirements</w:t>
            </w:r>
          </w:p>
        </w:tc>
      </w:tr>
      <w:tr>
        <w:tc>
          <w:tcPr>
            <w:tcW w:w="2600" w:type="dxa"/>
          </w:tcPr>
          <w:p>
            <w:pPr>
              <w:spacing w:before="0" w:after="0"/>
            </w:pPr>
            <w:r>
              <w:rPr>
                <w:sz w:val="20"/>
                <w:szCs w:val="20"/>
              </w:rPr>
              <w:t xml:space="preserve">BUDS Act — Sec. 28</w:t>
            </w:r>
          </w:p>
        </w:tc>
        <w:tc>
          <w:tcPr>
            <w:tcW w:w="3600" w:type="dxa"/>
          </w:tcPr>
          <w:p>
            <w:pPr>
              <w:spacing w:before="0" w:after="0"/>
            </w:pPr>
            <w:r>
              <w:rPr>
                <w:sz w:val="20"/>
                <w:szCs w:val="20"/>
              </w:rPr>
              <w:t xml:space="preserve">Classification of offences</w:t>
            </w:r>
          </w:p>
        </w:tc>
        <w:tc>
          <w:tcPr>
            <w:tcW w:w="3426" w:type="dxa"/>
          </w:tcPr>
          <w:p>
            <w:pPr>
              <w:spacing w:before="0" w:after="0"/>
            </w:pPr>
            <w:r>
              <w:rPr>
                <w:sz w:val="20"/>
                <w:szCs w:val="20"/>
              </w:rPr>
              <w:t xml:space="preserve">Except specified statutory exceptions, offences under Act are cognizable and non-bailable</w:t>
            </w:r>
          </w:p>
        </w:tc>
      </w:tr>
      <w:tr>
        <w:tc>
          <w:tcPr>
            <w:tcW w:w="2600" w:type="dxa"/>
          </w:tcPr>
          <w:p>
            <w:pPr>
              <w:spacing w:before="0" w:after="0"/>
            </w:pPr>
            <w:r>
              <w:rPr>
                <w:sz w:val="20"/>
                <w:szCs w:val="20"/>
              </w:rPr>
              <w:t xml:space="preserve">Companies Act Secs. 73/76 read with 76A</w:t>
            </w:r>
          </w:p>
        </w:tc>
        <w:tc>
          <w:tcPr>
            <w:tcW w:w="3600" w:type="dxa"/>
          </w:tcPr>
          <w:p>
            <w:pPr>
              <w:spacing w:before="0" w:after="0"/>
            </w:pPr>
            <w:r>
              <w:rPr>
                <w:sz w:val="20"/>
                <w:szCs w:val="20"/>
              </w:rPr>
              <w:t xml:space="preserve">Illegal/non-compliant acceptance of deposits or failure governed by Chapter V</w:t>
            </w:r>
          </w:p>
        </w:tc>
        <w:tc>
          <w:tcPr>
            <w:tcW w:w="3426" w:type="dxa"/>
          </w:tcPr>
          <w:p>
            <w:pPr>
              <w:spacing w:before="0" w:after="0"/>
            </w:pPr>
            <w:r>
              <w:rPr>
                <w:sz w:val="20"/>
                <w:szCs w:val="20"/>
              </w:rPr>
              <w:t xml:space="preserve">Officers in default may face imprisonment extending up to 7 years and statutory fines; company also liable to substantial financial penalty</w:t>
            </w:r>
          </w:p>
        </w:tc>
      </w:tr>
      <w:tr>
        <w:tc>
          <w:tcPr>
            <w:tcW w:w="2600" w:type="dxa"/>
          </w:tcPr>
          <w:p>
            <w:pPr>
              <w:spacing w:before="0" w:after="0"/>
            </w:pPr>
            <w:r>
              <w:rPr>
                <w:sz w:val="20"/>
                <w:szCs w:val="20"/>
              </w:rPr>
              <w:t xml:space="preserve">Companies Act Sec. 71</w:t>
            </w:r>
          </w:p>
        </w:tc>
        <w:tc>
          <w:tcPr>
            <w:tcW w:w="3600" w:type="dxa"/>
          </w:tcPr>
          <w:p>
            <w:pPr>
              <w:spacing w:before="0" w:after="0"/>
            </w:pPr>
            <w:r>
              <w:rPr>
                <w:sz w:val="20"/>
                <w:szCs w:val="20"/>
              </w:rPr>
              <w:t xml:space="preserve">Debenture issue, interest and redemption obligations</w:t>
            </w:r>
          </w:p>
        </w:tc>
        <w:tc>
          <w:tcPr>
            <w:tcW w:w="3426" w:type="dxa"/>
          </w:tcPr>
          <w:p>
            <w:pPr>
              <w:spacing w:before="0" w:after="0"/>
            </w:pPr>
            <w:r>
              <w:rPr>
                <w:sz w:val="20"/>
                <w:szCs w:val="20"/>
              </w:rPr>
              <w:t xml:space="preserve">Statutory debenture remedies; default in complying with Tribunal direction under Sec.71(11) can attract imprisonment up to 3 years and/or statutory fine</w:t>
            </w:r>
          </w:p>
        </w:tc>
      </w:tr>
      <w:tr>
        <w:tc>
          <w:tcPr>
            <w:tcW w:w="2600" w:type="dxa"/>
          </w:tcPr>
          <w:p>
            <w:pPr>
              <w:spacing w:before="0" w:after="0"/>
            </w:pPr>
            <w:r>
              <w:rPr>
                <w:sz w:val="20"/>
                <w:szCs w:val="20"/>
              </w:rPr>
              <w:t xml:space="preserve">Companies Act Sec. 55</w:t>
            </w:r>
          </w:p>
        </w:tc>
        <w:tc>
          <w:tcPr>
            <w:tcW w:w="3600" w:type="dxa"/>
          </w:tcPr>
          <w:p>
            <w:pPr>
              <w:spacing w:before="0" w:after="0"/>
            </w:pPr>
            <w:r>
              <w:rPr>
                <w:sz w:val="20"/>
                <w:szCs w:val="20"/>
              </w:rPr>
              <w:t xml:space="preserve">Issue/redemption of preference shares</w:t>
            </w:r>
          </w:p>
        </w:tc>
        <w:tc>
          <w:tcPr>
            <w:tcW w:w="3426" w:type="dxa"/>
          </w:tcPr>
          <w:p>
            <w:pPr>
              <w:spacing w:before="0" w:after="0"/>
            </w:pPr>
            <w:r>
              <w:rPr>
                <w:sz w:val="20"/>
                <w:szCs w:val="20"/>
              </w:rPr>
              <w:t xml:space="preserve">Statutory compliance/redemption consequences; precise contravention to be identified from records</w:t>
            </w:r>
          </w:p>
        </w:tc>
      </w:tr>
      <w:tr>
        <w:tc>
          <w:tcPr>
            <w:tcW w:w="2600" w:type="dxa"/>
          </w:tcPr>
          <w:p>
            <w:pPr>
              <w:spacing w:before="0" w:after="0"/>
            </w:pPr>
            <w:r>
              <w:rPr>
                <w:sz w:val="20"/>
                <w:szCs w:val="20"/>
              </w:rPr>
              <w:t xml:space="preserve">Companies Act Sec. 42</w:t>
            </w:r>
          </w:p>
        </w:tc>
        <w:tc>
          <w:tcPr>
            <w:tcW w:w="3600" w:type="dxa"/>
          </w:tcPr>
          <w:p>
            <w:pPr>
              <w:spacing w:before="0" w:after="0"/>
            </w:pPr>
            <w:r>
              <w:rPr>
                <w:sz w:val="20"/>
                <w:szCs w:val="20"/>
              </w:rPr>
              <w:t xml:space="preserve">Private placement requirements</w:t>
            </w:r>
          </w:p>
        </w:tc>
        <w:tc>
          <w:tcPr>
            <w:tcW w:w="3426" w:type="dxa"/>
          </w:tcPr>
          <w:p>
            <w:pPr>
              <w:spacing w:before="0" w:after="0"/>
            </w:pPr>
            <w:r>
              <w:rPr>
                <w:sz w:val="20"/>
                <w:szCs w:val="20"/>
              </w:rPr>
              <w:t xml:space="preserve">Statutory refund/penalty consequences depending on contravention and applicable version</w:t>
            </w:r>
          </w:p>
        </w:tc>
      </w:tr>
      <w:tr>
        <w:tc>
          <w:tcPr>
            <w:tcW w:w="2600" w:type="dxa"/>
          </w:tcPr>
          <w:p>
            <w:pPr>
              <w:spacing w:before="0" w:after="0"/>
            </w:pPr>
            <w:r>
              <w:rPr>
                <w:sz w:val="20"/>
                <w:szCs w:val="20"/>
              </w:rPr>
              <w:t xml:space="preserve">Companies Act Sec. 447</w:t>
            </w:r>
          </w:p>
        </w:tc>
        <w:tc>
          <w:tcPr>
            <w:tcW w:w="3600" w:type="dxa"/>
          </w:tcPr>
          <w:p>
            <w:pPr>
              <w:spacing w:before="0" w:after="0"/>
            </w:pPr>
            <w:r>
              <w:rPr>
                <w:sz w:val="20"/>
                <w:szCs w:val="20"/>
              </w:rPr>
              <w:t xml:space="preserve">Fraud in relation to affairs of company/body corporate</w:t>
            </w:r>
          </w:p>
        </w:tc>
        <w:tc>
          <w:tcPr>
            <w:tcW w:w="3426" w:type="dxa"/>
          </w:tcPr>
          <w:p>
            <w:pPr>
              <w:spacing w:before="0" w:after="0"/>
            </w:pPr>
            <w:r>
              <w:rPr>
                <w:sz w:val="20"/>
                <w:szCs w:val="20"/>
              </w:rPr>
              <w:t xml:space="preserve">In qualifying serious cases imprisonment may extend up to 10 years plus statutory fine; public-interest fraud attracts statutory minimum imprisonment conditions</w:t>
            </w:r>
          </w:p>
        </w:tc>
      </w:tr>
      <w:tr>
        <w:tc>
          <w:tcPr>
            <w:tcW w:w="2600" w:type="dxa"/>
          </w:tcPr>
          <w:p>
            <w:pPr>
              <w:spacing w:before="0" w:after="0"/>
            </w:pPr>
            <w:r>
              <w:rPr>
                <w:sz w:val="20"/>
                <w:szCs w:val="20"/>
              </w:rPr>
              <w:t xml:space="preserve">Companies Act Sec. 448 r/w Sec.447</w:t>
            </w:r>
          </w:p>
        </w:tc>
        <w:tc>
          <w:tcPr>
            <w:tcW w:w="3600" w:type="dxa"/>
          </w:tcPr>
          <w:p>
            <w:pPr>
              <w:spacing w:before="0" w:after="0"/>
            </w:pPr>
            <w:r>
              <w:rPr>
                <w:sz w:val="20"/>
                <w:szCs w:val="20"/>
              </w:rPr>
              <w:t xml:space="preserve">Knowing false statement/omission in return, report, certificate, financial statement or other statutory document</w:t>
            </w:r>
          </w:p>
        </w:tc>
        <w:tc>
          <w:tcPr>
            <w:tcW w:w="3426" w:type="dxa"/>
          </w:tcPr>
          <w:p>
            <w:pPr>
              <w:spacing w:before="0" w:after="0"/>
            </w:pPr>
            <w:r>
              <w:rPr>
                <w:sz w:val="20"/>
                <w:szCs w:val="20"/>
              </w:rPr>
              <w:t xml:space="preserve">Liability linked to Sec.447, where ingredients are proved</w:t>
            </w:r>
          </w:p>
        </w:tc>
      </w:tr>
      <w:tr>
        <w:tc>
          <w:tcPr>
            <w:tcW w:w="2600" w:type="dxa"/>
          </w:tcPr>
          <w:p>
            <w:pPr>
              <w:spacing w:before="0" w:after="0"/>
            </w:pPr>
            <w:r>
              <w:rPr>
                <w:sz w:val="20"/>
                <w:szCs w:val="20"/>
              </w:rPr>
              <w:t xml:space="preserve">Trade Marks Act Secs. 102/103/104</w:t>
            </w:r>
          </w:p>
        </w:tc>
        <w:tc>
          <w:tcPr>
            <w:tcW w:w="3600" w:type="dxa"/>
          </w:tcPr>
          <w:p>
            <w:pPr>
              <w:spacing w:before="0" w:after="0"/>
            </w:pPr>
            <w:r>
              <w:rPr>
                <w:sz w:val="20"/>
                <w:szCs w:val="20"/>
              </w:rPr>
              <w:t xml:space="preserve">False application/use of trade mark or trade description, if statutory ownership/use ingredients established</w:t>
            </w:r>
          </w:p>
        </w:tc>
        <w:tc>
          <w:tcPr>
            <w:tcW w:w="3426" w:type="dxa"/>
          </w:tcPr>
          <w:p>
            <w:pPr>
              <w:spacing w:before="0" w:after="0"/>
            </w:pPr>
            <w:r>
              <w:rPr>
                <w:sz w:val="20"/>
                <w:szCs w:val="20"/>
              </w:rPr>
              <w:t xml:space="preserve">Applicable statutory criminal consequences subject to proof of the mark and unauthorised use</w:t>
            </w:r>
          </w:p>
        </w:tc>
      </w:tr>
      <w:tr>
        <w:tc>
          <w:tcPr>
            <w:tcW w:w="2600" w:type="dxa"/>
          </w:tcPr>
          <w:p>
            <w:pPr>
              <w:spacing w:before="0" w:after="0"/>
            </w:pPr>
            <w:r>
              <w:rPr>
                <w:sz w:val="20"/>
                <w:szCs w:val="20"/>
              </w:rPr>
              <w:t xml:space="preserve">Copyright Act Sec. 63</w:t>
            </w:r>
          </w:p>
        </w:tc>
        <w:tc>
          <w:tcPr>
            <w:tcW w:w="3600" w:type="dxa"/>
          </w:tcPr>
          <w:p>
            <w:pPr>
              <w:spacing w:before="0" w:after="0"/>
            </w:pPr>
            <w:r>
              <w:rPr>
                <w:sz w:val="20"/>
                <w:szCs w:val="20"/>
              </w:rPr>
              <w:t xml:space="preserve">Knowing infringement/abetment concerning protected artistic logo/work, if copyright and unauthorised reproduction are proved</w:t>
            </w:r>
          </w:p>
        </w:tc>
        <w:tc>
          <w:tcPr>
            <w:tcW w:w="3426" w:type="dxa"/>
          </w:tcPr>
          <w:p>
            <w:pPr>
              <w:spacing w:before="0" w:after="0"/>
            </w:pPr>
            <w:r>
              <w:rPr>
                <w:sz w:val="20"/>
                <w:szCs w:val="20"/>
              </w:rPr>
              <w:t xml:space="preserve">Statutory imprisonment/fine subject to proof of copyright and infringement</w:t>
            </w:r>
          </w:p>
        </w:tc>
      </w:tr>
      <w:tr>
        <w:tc>
          <w:tcPr>
            <w:tcW w:w="2600" w:type="dxa"/>
          </w:tcPr>
          <w:p>
            <w:pPr>
              <w:spacing w:before="0" w:after="0"/>
            </w:pPr>
            <w:r>
              <w:rPr>
                <w:sz w:val="20"/>
                <w:szCs w:val="20"/>
              </w:rPr>
              <w:t xml:space="preserve">BNSS Sec. 173</w:t>
            </w:r>
          </w:p>
        </w:tc>
        <w:tc>
          <w:tcPr>
            <w:tcW w:w="3600" w:type="dxa"/>
          </w:tcPr>
          <w:p>
            <w:pPr>
              <w:spacing w:before="0" w:after="0"/>
            </w:pPr>
            <w:r>
              <w:rPr>
                <w:sz w:val="20"/>
                <w:szCs w:val="20"/>
              </w:rPr>
              <w:t xml:space="preserve">Information relating to commission of cognizable offence / registration procedure</w:t>
            </w:r>
          </w:p>
        </w:tc>
        <w:tc>
          <w:tcPr>
            <w:tcW w:w="3426" w:type="dxa"/>
          </w:tcPr>
          <w:p>
            <w:pPr>
              <w:spacing w:before="0" w:after="0"/>
            </w:pPr>
            <w:r>
              <w:rPr>
                <w:sz w:val="20"/>
                <w:szCs w:val="20"/>
              </w:rPr>
              <w:t xml:space="preserve">Procedural provision; not punishment section</w:t>
            </w:r>
          </w:p>
        </w:tc>
      </w:tr>
    </w:tbl>
    <w:p>
      <w:pPr>
        <w:spacing w:before="0" w:after="120"/>
      </w:pPr>
    </w:p>
    <w:p>
      <w:pPr>
        <w:jc w:val="both"/>
        <w:spacing w:before="0" w:after="120"/>
      </w:pPr>
      <w:r>
        <w:t xml:space="preserve">The above provisions are requested for examination without limiting the power of the Investigating Officer to add, alter or omit provisions according to the actual evidence and the law applicable on the date of each transaction.</w:t>
      </w:r>
    </w:p>
    <w:p>
      <w:pPr>
        <w:jc w:val="both"/>
        <w:spacing w:before="0" w:after="120"/>
      </w:pPr>
      <w:r>
        <w:t xml:space="preserve">For acts committed before 01-07-2024, the corresponding substantive offences under the Indian Penal Code and other laws then in force should be applied as legally appropriate. The present procedural handling of information/investigation may proceed under the Bharatiya Nagarik Suraksha Sanhita, 2023.</w:t>
      </w:r>
    </w:p>
    <w:p>
      <w:pPr>
        <w:spacing w:before="240" w:after="120"/>
        <w:keepNext/>
      </w:pPr>
      <w:r>
        <w:rPr>
          <w:b/>
          <w:u w:val="single"/>
        </w:rPr>
        <w:t xml:space="preserve">PRAYER</w:t>
      </w:r>
    </w:p>
    <w:p>
      <w:pPr>
        <w:jc w:val="both"/>
        <w:spacing w:before="0" w:after="120"/>
      </w:pPr>
      <w:r>
        <w:t xml:space="preserve">In the above circumstances, Victims Rights Protection Trust (VRPT), representing approximately 1,198 investor-victims presently before it, most respectfully requests that the competent authorities:</w:t>
      </w:r>
    </w:p>
    <w:p>
      <w:pPr>
        <w:tabs>
          <w:tab w:val="left" w:pos="720"/>
        </w:tabs>
        <w:spacing w:before="0" w:after="80"/>
        <w:ind w:left="720" w:hanging="360"/>
        <w:jc w:val="both"/>
      </w:pPr>
      <w:r>
        <w:t xml:space="preserve">1.	</w:t>
      </w:r>
      <w:r>
        <w:t xml:space="preserve">Receive this complaint as information disclosing cognizable offences under Section 173 BNSS, 2023.</w:t>
      </w:r>
    </w:p>
    <w:p>
      <w:pPr>
        <w:tabs>
          <w:tab w:val="left" w:pos="720"/>
        </w:tabs>
        <w:spacing w:before="0" w:after="80"/>
        <w:ind w:left="720" w:hanging="360"/>
        <w:jc w:val="both"/>
      </w:pPr>
      <w:r>
        <w:t xml:space="preserve">2.	</w:t>
      </w:r>
      <w:r>
        <w:t xml:space="preserve">Register an FIR against the principal persons/entities responsible and against all other named or unnamed promoters, directors, trustees, officers, authorised signatories, agents, employees and associates whose prima facie participation is disclosed by the records.</w:t>
      </w:r>
    </w:p>
    <w:p>
      <w:pPr>
        <w:tabs>
          <w:tab w:val="left" w:pos="720"/>
        </w:tabs>
        <w:spacing w:before="0" w:after="80"/>
        <w:ind w:left="720" w:hanging="360"/>
        <w:jc w:val="both"/>
      </w:pPr>
      <w:r>
        <w:t xml:space="preserve">3.	</w:t>
      </w:r>
      <w:r>
        <w:t xml:space="preserve">Where the earlier FIR/Crime No.158/2023, after verification, legally covers any part of the same transaction, treat this complaint and all accompanying victim material as further information/evidence and formally incorporate and investigate it rather than excluding the present victims.</w:t>
      </w:r>
    </w:p>
    <w:p>
      <w:pPr>
        <w:tabs>
          <w:tab w:val="left" w:pos="720"/>
        </w:tabs>
        <w:spacing w:before="0" w:after="80"/>
        <w:ind w:left="720" w:hanging="360"/>
        <w:jc w:val="both"/>
      </w:pPr>
      <w:r>
        <w:t xml:space="preserve">4.	</w:t>
      </w:r>
      <w:r>
        <w:t xml:space="preserve">Where legally distinct schemes/transactions/offences are disclosed, register such separate case/cases as are permissible in law.</w:t>
      </w:r>
    </w:p>
    <w:p>
      <w:pPr>
        <w:tabs>
          <w:tab w:val="left" w:pos="720"/>
        </w:tabs>
        <w:spacing w:before="0" w:after="80"/>
        <w:ind w:left="720" w:hanging="360"/>
        <w:jc w:val="both"/>
      </w:pPr>
      <w:r>
        <w:t xml:space="preserve">5.	</w:t>
      </w:r>
      <w:r>
        <w:t xml:space="preserve">Constitute a specialised investigation team with financial, cyber, corporate-accounting, revenue and registration expertise considering the alleged scale and number of victims.</w:t>
      </w:r>
    </w:p>
    <w:p>
      <w:pPr>
        <w:tabs>
          <w:tab w:val="left" w:pos="720"/>
        </w:tabs>
        <w:spacing w:before="0" w:after="80"/>
        <w:ind w:left="720" w:hanging="360"/>
        <w:jc w:val="both"/>
      </w:pPr>
      <w:r>
        <w:t xml:space="preserve">6.	</w:t>
      </w:r>
      <w:r>
        <w:t xml:space="preserve">Immediately secure and preserve the offices, computers, servers, laptops, mobile phones, accounting systems, cloud data, investor databases, CCTV records and physical registers used by the concerned DFI entities.</w:t>
      </w:r>
    </w:p>
    <w:p>
      <w:pPr>
        <w:tabs>
          <w:tab w:val="left" w:pos="720"/>
        </w:tabs>
        <w:spacing w:before="0" w:after="80"/>
        <w:ind w:left="720" w:hanging="360"/>
        <w:jc w:val="both"/>
      </w:pPr>
      <w:r>
        <w:t xml:space="preserve">7.	</w:t>
      </w:r>
      <w:r>
        <w:t xml:space="preserve">Seize all investor registers, investment ledgers, debenture registers, preference-share registers, maturity registers, inward registers, refund registers, original-surrender registers and payment records.</w:t>
      </w:r>
    </w:p>
    <w:p>
      <w:pPr>
        <w:tabs>
          <w:tab w:val="left" w:pos="720"/>
        </w:tabs>
        <w:spacing w:before="0" w:after="80"/>
        <w:ind w:left="720" w:hanging="360"/>
        <w:jc w:val="both"/>
      </w:pPr>
      <w:r>
        <w:t xml:space="preserve">8.	</w:t>
      </w:r>
      <w:r>
        <w:t xml:space="preserve">Recover and preserve original investment/bond documents surrendered by investors for refund.</w:t>
      </w:r>
    </w:p>
    <w:p>
      <w:pPr>
        <w:tabs>
          <w:tab w:val="left" w:pos="720"/>
        </w:tabs>
        <w:spacing w:before="0" w:after="80"/>
        <w:ind w:left="720" w:hanging="360"/>
        <w:jc w:val="both"/>
      </w:pPr>
      <w:r>
        <w:t xml:space="preserve">9.	</w:t>
      </w:r>
      <w:r>
        <w:t xml:space="preserve">Prepare a complete victim-wise database containing name, age, investment amount, payment date, receiving entity, instrument, promised return, maturity date, amount repaid and balance outstanding.</w:t>
      </w:r>
    </w:p>
    <w:p>
      <w:pPr>
        <w:tabs>
          <w:tab w:val="left" w:pos="720"/>
        </w:tabs>
        <w:spacing w:before="0" w:after="80"/>
        <w:ind w:left="720" w:hanging="360"/>
        <w:jc w:val="both"/>
      </w:pPr>
      <w:r>
        <w:t xml:space="preserve">10.	</w:t>
      </w:r>
      <w:r>
        <w:t xml:space="preserve">Give special priority to recording statements of elderly investors, including victims above 80/85 years, and investigate whether collections were systematically undertaken at their homes.</w:t>
      </w:r>
    </w:p>
    <w:p>
      <w:pPr>
        <w:tabs>
          <w:tab w:val="left" w:pos="720"/>
        </w:tabs>
        <w:spacing w:before="0" w:after="80"/>
        <w:ind w:left="720" w:hanging="360"/>
        <w:jc w:val="both"/>
      </w:pPr>
      <w:r>
        <w:t xml:space="preserve">11.	</w:t>
      </w:r>
      <w:r>
        <w:t xml:space="preserve">Obtain complete bank statements of DFI Trust and every related company/entity and conduct a forensic fund-flow analysis.</w:t>
      </w:r>
    </w:p>
    <w:p>
      <w:pPr>
        <w:tabs>
          <w:tab w:val="left" w:pos="720"/>
        </w:tabs>
        <w:spacing w:before="0" w:after="80"/>
        <w:ind w:left="720" w:hanging="360"/>
        <w:jc w:val="both"/>
      </w:pPr>
      <w:r>
        <w:t xml:space="preserve">12.	</w:t>
      </w:r>
      <w:r>
        <w:t xml:space="preserve">Identify the ultimate destination and present location of investor monies.</w:t>
      </w:r>
    </w:p>
    <w:p>
      <w:pPr>
        <w:tabs>
          <w:tab w:val="left" w:pos="720"/>
        </w:tabs>
        <w:spacing w:before="0" w:after="80"/>
        <w:ind w:left="720" w:hanging="360"/>
        <w:jc w:val="both"/>
      </w:pPr>
      <w:r>
        <w:t xml:space="preserve">13.	</w:t>
      </w:r>
      <w:r>
        <w:t xml:space="preserve">Obtain ROC/MCA records for every DFI-associated company and examine Sections 42, 55, 71, 73, 76, 76A, 447, 448 and all applicable rules.</w:t>
      </w:r>
    </w:p>
    <w:p>
      <w:pPr>
        <w:tabs>
          <w:tab w:val="left" w:pos="720"/>
        </w:tabs>
        <w:spacing w:before="0" w:after="80"/>
        <w:ind w:left="720" w:hanging="360"/>
        <w:jc w:val="both"/>
      </w:pPr>
      <w:r>
        <w:t xml:space="preserve">14.	</w:t>
      </w:r>
      <w:r>
        <w:t xml:space="preserve">Obtain confirmation from RBI regarding whether any concerned entity was registered or authorised to carry on deposit-taking/NBFC-related activity, wherever such authorisation was required.</w:t>
      </w:r>
    </w:p>
    <w:p>
      <w:pPr>
        <w:tabs>
          <w:tab w:val="left" w:pos="720"/>
        </w:tabs>
        <w:spacing w:before="0" w:after="80"/>
        <w:ind w:left="720" w:hanging="360"/>
        <w:jc w:val="both"/>
      </w:pPr>
      <w:r>
        <w:t xml:space="preserve">15.	</w:t>
      </w:r>
      <w:r>
        <w:t xml:space="preserve">Examine the applicability of the Banning of Unregulated Deposit Schemes Act, 2019, particularly Sections 3, 21 and 25.</w:t>
      </w:r>
    </w:p>
    <w:p>
      <w:pPr>
        <w:tabs>
          <w:tab w:val="left" w:pos="720"/>
        </w:tabs>
        <w:spacing w:before="0" w:after="80"/>
        <w:ind w:left="720" w:hanging="360"/>
        <w:jc w:val="both"/>
      </w:pPr>
      <w:r>
        <w:t xml:space="preserve">16.	</w:t>
      </w:r>
      <w:r>
        <w:t xml:space="preserve">Where the BUDS Act is attracted, place before the competent Court the statutory nature of the offences including the provisions relating to cognizability and non-bailability.</w:t>
      </w:r>
    </w:p>
    <w:p>
      <w:pPr>
        <w:tabs>
          <w:tab w:val="left" w:pos="720"/>
        </w:tabs>
        <w:spacing w:before="0" w:after="80"/>
        <w:ind w:left="720" w:hanging="360"/>
        <w:jc w:val="both"/>
      </w:pPr>
      <w:r>
        <w:t xml:space="preserve">17.	</w:t>
      </w:r>
      <w:r>
        <w:t xml:space="preserve">Obtain the complete DFI Trust deed, amendments, bye-laws, trustee resolutions, minutes books and logo/identity records.</w:t>
      </w:r>
    </w:p>
    <w:p>
      <w:pPr>
        <w:tabs>
          <w:tab w:val="left" w:pos="720"/>
        </w:tabs>
        <w:spacing w:before="0" w:after="80"/>
        <w:ind w:left="720" w:hanging="360"/>
        <w:jc w:val="both"/>
      </w:pPr>
      <w:r>
        <w:t xml:space="preserve">18.	</w:t>
      </w:r>
      <w:r>
        <w:t xml:space="preserve">Determine whether the Trust validly authorised private companies to use the DFI name/logo/address.</w:t>
      </w:r>
    </w:p>
    <w:p>
      <w:pPr>
        <w:tabs>
          <w:tab w:val="left" w:pos="720"/>
        </w:tabs>
        <w:spacing w:before="0" w:after="80"/>
        <w:ind w:left="720" w:hanging="360"/>
        <w:jc w:val="both"/>
      </w:pPr>
      <w:r>
        <w:t xml:space="preserve">19.	</w:t>
      </w:r>
      <w:r>
        <w:t xml:space="preserve">Obtain and preserve all advertisements, brochures, websites, social-media communications, investment presentations, receipts, certificates and promotional literature carrying the DFI identity.</w:t>
      </w:r>
    </w:p>
    <w:p>
      <w:pPr>
        <w:tabs>
          <w:tab w:val="left" w:pos="720"/>
        </w:tabs>
        <w:spacing w:before="0" w:after="80"/>
        <w:ind w:left="720" w:hanging="360"/>
        <w:jc w:val="both"/>
      </w:pPr>
      <w:r>
        <w:t xml:space="preserve">20.	</w:t>
      </w:r>
      <w:r>
        <w:t xml:space="preserve">Investigate the issue of debentures and determine whether every issuance complied with Section 71 of the Companies Act and applicable rules.</w:t>
      </w:r>
    </w:p>
    <w:p>
      <w:pPr>
        <w:tabs>
          <w:tab w:val="left" w:pos="720"/>
        </w:tabs>
        <w:spacing w:before="0" w:after="80"/>
        <w:ind w:left="720" w:hanging="360"/>
        <w:jc w:val="both"/>
      </w:pPr>
      <w:r>
        <w:t xml:space="preserve">21.	</w:t>
      </w:r>
      <w:r>
        <w:t xml:space="preserve">Investigate the purported issue of redeemable preference shares and verify all statutory filings, allotment registers, share certificates, consideration, redemption obligations and company resolutions.</w:t>
      </w:r>
    </w:p>
    <w:p>
      <w:pPr>
        <w:tabs>
          <w:tab w:val="left" w:pos="720"/>
        </w:tabs>
        <w:spacing w:before="0" w:after="80"/>
        <w:ind w:left="720" w:hanging="360"/>
        <w:jc w:val="both"/>
      </w:pPr>
      <w:r>
        <w:t xml:space="preserve">22.	</w:t>
      </w:r>
      <w:r>
        <w:t xml:space="preserve">For every “Advance for Land” transaction, identify the corresponding land, survey number, title, approved layout, agreement, registered owner and ultimate registration/refund status.</w:t>
      </w:r>
    </w:p>
    <w:p>
      <w:pPr>
        <w:tabs>
          <w:tab w:val="left" w:pos="720"/>
        </w:tabs>
        <w:spacing w:before="0" w:after="80"/>
        <w:ind w:left="720" w:hanging="360"/>
        <w:jc w:val="both"/>
      </w:pPr>
      <w:r>
        <w:t xml:space="preserve">23.	</w:t>
      </w:r>
      <w:r>
        <w:t xml:space="preserve">Compare the interest-bearing “Advance for Land” transactions with the definition of deposit under all applicable legislation.</w:t>
      </w:r>
    </w:p>
    <w:p>
      <w:pPr>
        <w:tabs>
          <w:tab w:val="left" w:pos="720"/>
        </w:tabs>
        <w:spacing w:before="0" w:after="80"/>
        <w:ind w:left="720" w:hanging="360"/>
        <w:jc w:val="both"/>
      </w:pPr>
      <w:r>
        <w:t xml:space="preserve">24.	</w:t>
      </w:r>
      <w:r>
        <w:t xml:space="preserve">Obtain Form 26AS/AIS, Form 16A, TDS returns, challans and relevant income-tax records to corroborate the treatment of payments as interest.</w:t>
      </w:r>
    </w:p>
    <w:p>
      <w:pPr>
        <w:tabs>
          <w:tab w:val="left" w:pos="720"/>
        </w:tabs>
        <w:spacing w:before="0" w:after="80"/>
        <w:ind w:left="720" w:hanging="360"/>
        <w:jc w:val="both"/>
      </w:pPr>
      <w:r>
        <w:t xml:space="preserve">25.	</w:t>
      </w:r>
      <w:r>
        <w:t xml:space="preserve">Examine all TDS deductions reflected in the DFI Group statements and determine whether the deducted amounts were deposited with Government.</w:t>
      </w:r>
    </w:p>
    <w:p>
      <w:pPr>
        <w:tabs>
          <w:tab w:val="left" w:pos="720"/>
        </w:tabs>
        <w:spacing w:before="0" w:after="80"/>
        <w:ind w:left="720" w:hanging="360"/>
        <w:jc w:val="both"/>
      </w:pPr>
      <w:r>
        <w:t xml:space="preserve">26.	</w:t>
      </w:r>
      <w:r>
        <w:t xml:space="preserve">Obtain and correlate all Government attachment orders, including G.O.Rt.No.541/2024 and G.O.Rt.No.542/2024 and other attachment orders connected with DFI-related properties.</w:t>
      </w:r>
    </w:p>
    <w:p>
      <w:pPr>
        <w:tabs>
          <w:tab w:val="left" w:pos="720"/>
        </w:tabs>
        <w:spacing w:before="0" w:after="80"/>
        <w:ind w:left="720" w:hanging="360"/>
        <w:jc w:val="both"/>
      </w:pPr>
      <w:r>
        <w:t xml:space="preserve">27.	</w:t>
      </w:r>
      <w:r>
        <w:t xml:space="preserve">Obtain the complete records of the Metropolitan Sessions Judge/Special Court relating to attachment and orders making attachments absolute, wherever applicable.</w:t>
      </w:r>
    </w:p>
    <w:p>
      <w:pPr>
        <w:tabs>
          <w:tab w:val="left" w:pos="720"/>
        </w:tabs>
        <w:spacing w:before="0" w:after="80"/>
        <w:ind w:left="720" w:hanging="360"/>
        <w:jc w:val="both"/>
      </w:pPr>
      <w:r>
        <w:t xml:space="preserve">28.	</w:t>
      </w:r>
      <w:r>
        <w:t xml:space="preserve">Identify movable and immovable assets purchased directly or indirectly from investor funds and initiate attachment/recovery proceedings under the Telangana Protection of Depositors of Financial Establishments Act and other applicable statutes.</w:t>
      </w:r>
    </w:p>
    <w:p>
      <w:pPr>
        <w:tabs>
          <w:tab w:val="left" w:pos="720"/>
        </w:tabs>
        <w:spacing w:before="0" w:after="80"/>
        <w:ind w:left="720" w:hanging="360"/>
        <w:jc w:val="both"/>
      </w:pPr>
      <w:r>
        <w:t xml:space="preserve">29.	</w:t>
      </w:r>
      <w:r>
        <w:t xml:space="preserve">Investigate assets held in the names of promoters, directors, family members, associates, related concerns or other persons where the fund trail indicates acquisition from investor monies, subject to due process.</w:t>
      </w:r>
    </w:p>
    <w:p>
      <w:pPr>
        <w:tabs>
          <w:tab w:val="left" w:pos="720"/>
        </w:tabs>
        <w:spacing w:before="0" w:after="80"/>
        <w:ind w:left="720" w:hanging="360"/>
        <w:jc w:val="both"/>
      </w:pPr>
      <w:r>
        <w:t xml:space="preserve">30.	</w:t>
      </w:r>
      <w:r>
        <w:t xml:space="preserve">Issue immediate preservation directions to banks, financial intermediaries, ROC/MCA, Income Tax authorities, Registration Department and Revenue authorities so that evidence and assets are not dissipated.</w:t>
      </w:r>
    </w:p>
    <w:p>
      <w:pPr>
        <w:tabs>
          <w:tab w:val="left" w:pos="720"/>
        </w:tabs>
        <w:spacing w:before="0" w:after="80"/>
        <w:ind w:left="720" w:hanging="360"/>
        <w:jc w:val="both"/>
      </w:pPr>
      <w:r>
        <w:t xml:space="preserve">31.	</w:t>
      </w:r>
      <w:r>
        <w:t xml:space="preserve">Examine the applicability of IPC Section 409 specifically and, if the statutory qualifying capacity, entrustment and dishonest breach are established, invoke the provision carrying imprisonment for life or imprisonment up to ten years and fine.</w:t>
      </w:r>
    </w:p>
    <w:p>
      <w:pPr>
        <w:tabs>
          <w:tab w:val="left" w:pos="720"/>
        </w:tabs>
        <w:spacing w:before="0" w:after="80"/>
        <w:ind w:left="720" w:hanging="360"/>
        <w:jc w:val="both"/>
      </w:pPr>
      <w:r>
        <w:t xml:space="preserve">32.	</w:t>
      </w:r>
      <w:r>
        <w:t xml:space="preserve">Examine Sections 406, 417, 418, 420, 120-B and 34 IPC and all consequential offences established during investigation.</w:t>
      </w:r>
    </w:p>
    <w:p>
      <w:pPr>
        <w:tabs>
          <w:tab w:val="left" w:pos="720"/>
        </w:tabs>
        <w:spacing w:before="0" w:after="80"/>
        <w:ind w:left="720" w:hanging="360"/>
        <w:jc w:val="both"/>
      </w:pPr>
      <w:r>
        <w:t xml:space="preserve">33.	</w:t>
      </w:r>
      <w:r>
        <w:t xml:space="preserve">Investigate Companies Act Section 447 wherever the evidence demonstrates a company-related fraudulent scheme involving intentional deception, concealment or abuse of position.</w:t>
      </w:r>
    </w:p>
    <w:p>
      <w:pPr>
        <w:tabs>
          <w:tab w:val="left" w:pos="720"/>
        </w:tabs>
        <w:spacing w:before="0" w:after="80"/>
        <w:ind w:left="720" w:hanging="360"/>
        <w:jc w:val="both"/>
      </w:pPr>
      <w:r>
        <w:t xml:space="preserve">34.	</w:t>
      </w:r>
      <w:r>
        <w:t xml:space="preserve">Examine whether documents, statutory returns, certificates, allotments, registers or records contain knowingly false material particulars so as to attract Section 448 read with Section 447 or other applicable provisions.</w:t>
      </w:r>
    </w:p>
    <w:p>
      <w:pPr>
        <w:tabs>
          <w:tab w:val="left" w:pos="720"/>
        </w:tabs>
        <w:spacing w:before="0" w:after="80"/>
        <w:ind w:left="720" w:hanging="360"/>
        <w:jc w:val="both"/>
      </w:pPr>
      <w:r>
        <w:t xml:space="preserve">35.	</w:t>
      </w:r>
      <w:r>
        <w:t xml:space="preserve">Inform the Enforcement Directorate of the material if investigation discloses proceeds of crime arising from scheduled predicate offences, so that action under the Prevention of Money Laundering Act may be considered by the competent authority in accordance with law.</w:t>
      </w:r>
    </w:p>
    <w:p>
      <w:pPr>
        <w:tabs>
          <w:tab w:val="left" w:pos="720"/>
        </w:tabs>
        <w:spacing w:before="0" w:after="80"/>
        <w:ind w:left="720" w:hanging="360"/>
        <w:jc w:val="both"/>
      </w:pPr>
      <w:r>
        <w:t xml:space="preserve">36.	</w:t>
      </w:r>
      <w:r>
        <w:t xml:space="preserve">Ensure that no person is arrayed merely because he or she once held a nominal trusteeship; equally, ensure that no promoter, director, trustee, officer or associate who actually participated in the alleged scheme escapes investigation merely because transactions were routed through different company names.</w:t>
      </w:r>
    </w:p>
    <w:p>
      <w:pPr>
        <w:tabs>
          <w:tab w:val="left" w:pos="720"/>
        </w:tabs>
        <w:spacing w:before="0" w:after="80"/>
        <w:ind w:left="720" w:hanging="360"/>
        <w:jc w:val="both"/>
      </w:pPr>
      <w:r>
        <w:t xml:space="preserve">37.	</w:t>
      </w:r>
      <w:r>
        <w:t xml:space="preserve">In any bail proceedings relating to offences arising from this investigation, place before the competent Court the complete and accurate record concerning the number of victims, amount involved, statutory classification of offences, alleged continuing control over records/assets, risk of evidence tampering or asset dissipation, previous defaults and the special statutory provisions applicable to the case. The question of bail may thereafter be determined by the competent Court strictly in accordance with law.</w:t>
      </w:r>
    </w:p>
    <w:p>
      <w:pPr>
        <w:tabs>
          <w:tab w:val="left" w:pos="720"/>
        </w:tabs>
        <w:spacing w:before="0" w:after="80"/>
        <w:ind w:left="720" w:hanging="360"/>
        <w:jc w:val="both"/>
      </w:pPr>
      <w:r>
        <w:t xml:space="preserve">38.	</w:t>
      </w:r>
      <w:r>
        <w:t xml:space="preserve">Establish a dedicated victim communication/nodal mechanism so that approximately 1,198 presently identified VRPT victims, and further victims discovered during investigation, can submit their records without repeatedly approaching multiple police stations.</w:t>
      </w:r>
    </w:p>
    <w:p>
      <w:pPr>
        <w:tabs>
          <w:tab w:val="left" w:pos="720"/>
        </w:tabs>
        <w:spacing w:before="0" w:after="80"/>
        <w:ind w:left="720" w:hanging="360"/>
        <w:jc w:val="both"/>
      </w:pPr>
      <w:r>
        <w:t xml:space="preserve">39.	</w:t>
      </w:r>
      <w:r>
        <w:t xml:space="preserve">Investigate the complete period of operation and not merely the few illustrative transactions annexed with this complaint.</w:t>
      </w:r>
    </w:p>
    <w:p>
      <w:pPr>
        <w:tabs>
          <w:tab w:val="left" w:pos="720"/>
        </w:tabs>
        <w:spacing w:before="0" w:after="80"/>
        <w:ind w:left="720" w:hanging="360"/>
        <w:jc w:val="both"/>
      </w:pPr>
      <w:r>
        <w:t xml:space="preserve">40.	</w:t>
      </w:r>
      <w:r>
        <w:t xml:space="preserve">Take all lawful criminal, regulatory, attachment, recovery and victim-protection measures against each person/entity according to the evidence ultimately established.</w:t>
      </w:r>
    </w:p>
    <w:p>
      <w:pPr>
        <w:jc w:val="both"/>
        <w:spacing w:before="0" w:after="120"/>
      </w:pPr>
      <w:r>
        <w:t xml:space="preserve">The present complaint raises issues far beyond a single unpaid investment.</w:t>
      </w:r>
    </w:p>
    <w:p>
      <w:pPr>
        <w:jc w:val="both"/>
        <w:spacing w:before="0" w:after="120"/>
      </w:pPr>
      <w:r>
        <w:t xml:space="preserve">The documents require investigation into whether a common system was deliberately created in which public confidence associated with DFI was utilised; different private companies and investment descriptions were employed; funds were accepted under descriptions including land advances, debentures and preference-share/investment instruments; fixed returns were represented or paid; TDS and investment reference numbers were generated; original instruments were received from persons seeking repayment; promised repayment/redemption thereafter failed; and substantial numbers of investors were left without the money/property represented to them.</w:t>
      </w:r>
    </w:p>
    <w:p>
      <w:pPr>
        <w:jc w:val="both"/>
        <w:spacing w:before="0" w:after="120"/>
      </w:pPr>
      <w:r>
        <w:t xml:space="preserve">The enclosed documents are illustrative evidence. They should not become an artificial limit on the investigation.</w:t>
      </w:r>
    </w:p>
    <w:p>
      <w:pPr>
        <w:jc w:val="both"/>
        <w:spacing w:before="0" w:after="120"/>
      </w:pPr>
      <w:r>
        <w:t xml:space="preserve">VRPT therefore respectfully requests the police to investigate the entire investor universe, trace the money and property, identify the actual decision-makers and beneficiaries, preserve evidence immediately, secure the interests of elderly and other vulnerable victims and place before the competent Courts every penal provision which the evidence legitimately attracts.</w:t>
      </w:r>
    </w:p>
    <w:p>
      <w:pPr>
        <w:jc w:val="both"/>
        <w:spacing w:before="0" w:after="120"/>
      </w:pPr>
      <w:r>
        <w:t xml:space="preserve">The complainant and VRPT are ready to produce investor-wise statements, acknowledgments, receipts, bonds, debentures, preference-share related records, bank proofs, correspondence, land-related documents and other records available with the victims.</w:t>
      </w:r>
    </w:p>
    <w:p>
      <w:pPr>
        <w:jc w:val="both"/>
        <w:spacing w:before="0" w:after="120"/>
      </w:pPr>
      <w:r>
        <w:t xml:space="preserve">It is accordingly prayed that this complaint be acted upon urgently in accordance with law.</w:t>
      </w:r>
    </w:p>
    <w:p>
      <w:pPr>
        <w:jc w:val="right"/>
        <w:spacing w:before="240" w:after="120"/>
      </w:pPr>
      <w:r>
        <w:t xml:space="preserve">Yours faithfully,</w:t>
      </w:r>
      <w:r>
        <w:br/>
      </w:r>
      <w:r>
        <w:t xml:space="preserve">For </w:t>
      </w:r>
      <w:r>
        <w:rPr>
          <w:b/>
        </w:rPr>
        <w:t xml:space="preserve">VICTIMS RIGHTS PROTECTION TRUST (VRPT)</w:t>
      </w:r>
      <w:r>
        <w:br/>
      </w:r>
      <w:r>
        <w:t xml:space="preserve">Regd. No. 209/2025</w:t>
      </w:r>
      <w:r>
        <w:br/>
      </w:r>
      <w:r>
        <w:br/>
      </w:r>
      <w:r>
        <w:rPr>
          <w:b/>
        </w:rPr>
        <w:t xml:space="preserve">GIRI PRASAD SARMA KALLE</w:t>
      </w:r>
      <w:r>
        <w:br/>
      </w:r>
      <w:r>
        <w:t xml:space="preserve">Convenor / Authorised Representative</w:t>
      </w:r>
      <w:r>
        <w:br/>
      </w:r>
      <w:r>
        <w:t xml:space="preserve">Hyderabad, Telangana</w:t>
      </w:r>
      <w:r>
        <w:br/>
      </w:r>
      <w:r>
        <w:t xml:space="preserve">Mobile: __________________</w:t>
      </w:r>
      <w:r>
        <w:br/>
      </w:r>
      <w:r>
        <w:t xml:space="preserve">Signature: _______________</w:t>
      </w:r>
    </w:p>
    <w:p>
      <w:pPr>
        <w:spacing w:before="240" w:after="120"/>
        <w:keepNext/>
      </w:pPr>
      <w:r>
        <w:rPr>
          <w:b/>
          <w:u w:val="single"/>
        </w:rPr>
        <w:t xml:space="preserve">ENCLOSURES</w:t>
      </w:r>
    </w:p>
    <w:p>
      <w:pPr>
        <w:tabs>
          <w:tab w:val="left" w:pos="720"/>
        </w:tabs>
        <w:spacing w:before="0" w:after="80"/>
        <w:ind w:left="720" w:hanging="360"/>
        <w:jc w:val="both"/>
      </w:pPr>
      <w:r>
        <w:t xml:space="preserve">1.	</w:t>
      </w:r>
      <w:r>
        <w:t xml:space="preserve">Investor-wise master list presently available with VRPT — approximately 1,198 victims.</w:t>
      </w:r>
    </w:p>
    <w:p>
      <w:pPr>
        <w:tabs>
          <w:tab w:val="left" w:pos="720"/>
        </w:tabs>
        <w:spacing w:before="0" w:after="80"/>
        <w:ind w:left="720" w:hanging="360"/>
        <w:jc w:val="both"/>
      </w:pPr>
      <w:r>
        <w:t xml:space="preserve">2.	</w:t>
      </w:r>
      <w:r>
        <w:t xml:space="preserve">Copies of bonds/investment certificates.</w:t>
      </w:r>
    </w:p>
    <w:p>
      <w:pPr>
        <w:tabs>
          <w:tab w:val="left" w:pos="720"/>
        </w:tabs>
        <w:spacing w:before="0" w:after="80"/>
        <w:ind w:left="720" w:hanging="360"/>
        <w:jc w:val="both"/>
      </w:pPr>
      <w:r>
        <w:t xml:space="preserve">3.	</w:t>
      </w:r>
      <w:r>
        <w:t xml:space="preserve">Letter dated 17-11-2022 bearing acknowledgment “Original Received”.</w:t>
      </w:r>
    </w:p>
    <w:p>
      <w:pPr>
        <w:tabs>
          <w:tab w:val="left" w:pos="720"/>
        </w:tabs>
        <w:spacing w:before="0" w:after="80"/>
        <w:ind w:left="720" w:hanging="360"/>
        <w:jc w:val="both"/>
      </w:pPr>
      <w:r>
        <w:t xml:space="preserve">4.	</w:t>
      </w:r>
      <w:r>
        <w:t xml:space="preserve">Relevant refund demands and correspondence.</w:t>
      </w:r>
    </w:p>
    <w:p>
      <w:pPr>
        <w:tabs>
          <w:tab w:val="left" w:pos="720"/>
        </w:tabs>
        <w:spacing w:before="0" w:after="80"/>
        <w:ind w:left="720" w:hanging="360"/>
        <w:jc w:val="both"/>
      </w:pPr>
      <w:r>
        <w:t xml:space="preserve">5.	</w:t>
      </w:r>
      <w:r>
        <w:t xml:space="preserve">Vijayawada Venture receipts.</w:t>
      </w:r>
    </w:p>
    <w:p>
      <w:pPr>
        <w:tabs>
          <w:tab w:val="left" w:pos="720"/>
        </w:tabs>
        <w:spacing w:before="0" w:after="80"/>
        <w:ind w:left="720" w:hanging="360"/>
        <w:jc w:val="both"/>
      </w:pPr>
      <w:r>
        <w:t xml:space="preserve">6.	</w:t>
      </w:r>
      <w:r>
        <w:t xml:space="preserve">Minutes dated 25-10-2014 relating to Vijayawada Venture.</w:t>
      </w:r>
    </w:p>
    <w:p>
      <w:pPr>
        <w:tabs>
          <w:tab w:val="left" w:pos="720"/>
        </w:tabs>
        <w:spacing w:before="0" w:after="80"/>
        <w:ind w:left="720" w:hanging="360"/>
        <w:jc w:val="both"/>
      </w:pPr>
      <w:r>
        <w:t xml:space="preserve">7.	</w:t>
      </w:r>
      <w:r>
        <w:t xml:space="preserve">DFI / associated-company receipts displaying relevant name/logo/emblem.</w:t>
      </w:r>
    </w:p>
    <w:p>
      <w:pPr>
        <w:tabs>
          <w:tab w:val="left" w:pos="720"/>
        </w:tabs>
        <w:spacing w:before="0" w:after="80"/>
        <w:ind w:left="720" w:hanging="360"/>
        <w:jc w:val="both"/>
      </w:pPr>
      <w:r>
        <w:t xml:space="preserve">8.	</w:t>
      </w:r>
      <w:r>
        <w:t xml:space="preserve">Statement attributed to former founder-trustee Dr. A. Venkata Ratnam dated 16-05-2024.</w:t>
      </w:r>
    </w:p>
    <w:p>
      <w:pPr>
        <w:tabs>
          <w:tab w:val="left" w:pos="720"/>
        </w:tabs>
        <w:spacing w:before="0" w:after="80"/>
        <w:ind w:left="720" w:hanging="360"/>
        <w:jc w:val="both"/>
      </w:pPr>
      <w:r>
        <w:t xml:space="preserve">9.	</w:t>
      </w:r>
      <w:r>
        <w:t xml:space="preserve">DFI Group of Companies – Statement of Interests/Dividends/Compensations Paid dated 03-05-2023.</w:t>
      </w:r>
    </w:p>
    <w:p>
      <w:pPr>
        <w:tabs>
          <w:tab w:val="left" w:pos="720"/>
        </w:tabs>
        <w:spacing w:before="0" w:after="80"/>
        <w:ind w:left="720" w:hanging="360"/>
        <w:jc w:val="both"/>
      </w:pPr>
      <w:r>
        <w:t xml:space="preserve">10.	</w:t>
      </w:r>
      <w:r>
        <w:t xml:space="preserve">Debenture-related documents and maturity/default records.</w:t>
      </w:r>
    </w:p>
    <w:p>
      <w:pPr>
        <w:tabs>
          <w:tab w:val="left" w:pos="720"/>
        </w:tabs>
        <w:spacing w:before="0" w:after="80"/>
        <w:ind w:left="720" w:hanging="360"/>
        <w:jc w:val="both"/>
      </w:pPr>
      <w:r>
        <w:t xml:space="preserve">11.	</w:t>
      </w:r>
      <w:r>
        <w:t xml:space="preserve">Preference-share related documents.</w:t>
      </w:r>
    </w:p>
    <w:p>
      <w:pPr>
        <w:tabs>
          <w:tab w:val="left" w:pos="720"/>
        </w:tabs>
        <w:spacing w:before="0" w:after="80"/>
        <w:ind w:left="720" w:hanging="360"/>
        <w:jc w:val="both"/>
      </w:pPr>
      <w:r>
        <w:t xml:space="preserve">12.	</w:t>
      </w:r>
      <w:r>
        <w:t xml:space="preserve">“Advance for Land” receipts/statements.</w:t>
      </w:r>
    </w:p>
    <w:p>
      <w:pPr>
        <w:tabs>
          <w:tab w:val="left" w:pos="720"/>
        </w:tabs>
        <w:spacing w:before="0" w:after="80"/>
        <w:ind w:left="720" w:hanging="360"/>
        <w:jc w:val="both"/>
      </w:pPr>
      <w:r>
        <w:t xml:space="preserve">13.	</w:t>
      </w:r>
      <w:r>
        <w:t xml:space="preserve">Bank payment proofs.</w:t>
      </w:r>
    </w:p>
    <w:p>
      <w:pPr>
        <w:tabs>
          <w:tab w:val="left" w:pos="720"/>
        </w:tabs>
        <w:spacing w:before="0" w:after="80"/>
        <w:ind w:left="720" w:hanging="360"/>
        <w:jc w:val="both"/>
      </w:pPr>
      <w:r>
        <w:t xml:space="preserve">14.	</w:t>
      </w:r>
      <w:r>
        <w:t xml:space="preserve">TDS/Form 16A/26AS/AIS material, wherever available.</w:t>
      </w:r>
    </w:p>
    <w:p>
      <w:pPr>
        <w:tabs>
          <w:tab w:val="left" w:pos="720"/>
        </w:tabs>
        <w:spacing w:before="0" w:after="80"/>
        <w:ind w:left="720" w:hanging="360"/>
        <w:jc w:val="both"/>
      </w:pPr>
      <w:r>
        <w:t xml:space="preserve">15.	</w:t>
      </w:r>
      <w:r>
        <w:t xml:space="preserve">Government attachment orders and schedules.</w:t>
      </w:r>
    </w:p>
    <w:p>
      <w:pPr>
        <w:tabs>
          <w:tab w:val="left" w:pos="720"/>
        </w:tabs>
        <w:spacing w:before="0" w:after="80"/>
        <w:ind w:left="720" w:hanging="360"/>
        <w:jc w:val="both"/>
      </w:pPr>
      <w:r>
        <w:t xml:space="preserve">16.	</w:t>
      </w:r>
      <w:r>
        <w:t xml:space="preserve">Special Court / Metropolitan Sessions Judge attachment proceedings/orders, wherever available.</w:t>
      </w:r>
    </w:p>
    <w:p>
      <w:pPr>
        <w:tabs>
          <w:tab w:val="left" w:pos="720"/>
        </w:tabs>
        <w:spacing w:before="0" w:after="80"/>
        <w:ind w:left="720" w:hanging="360"/>
        <w:jc w:val="both"/>
      </w:pPr>
      <w:r>
        <w:t xml:space="preserve">17.	</w:t>
      </w:r>
      <w:r>
        <w:t xml:space="preserve">Relevant High Court orders, wherever available.</w:t>
      </w:r>
    </w:p>
    <w:p>
      <w:pPr>
        <w:tabs>
          <w:tab w:val="left" w:pos="720"/>
        </w:tabs>
        <w:spacing w:before="0" w:after="80"/>
        <w:ind w:left="720" w:hanging="360"/>
        <w:jc w:val="both"/>
      </w:pPr>
      <w:r>
        <w:t xml:space="preserve">18.	</w:t>
      </w:r>
      <w:r>
        <w:t xml:space="preserve">Company/ROC records presently available.</w:t>
      </w:r>
    </w:p>
    <w:p>
      <w:pPr>
        <w:tabs>
          <w:tab w:val="left" w:pos="720"/>
        </w:tabs>
        <w:spacing w:before="0" w:after="80"/>
        <w:ind w:left="720" w:hanging="360"/>
        <w:jc w:val="both"/>
      </w:pPr>
      <w:r>
        <w:t xml:space="preserve">19.	</w:t>
      </w:r>
      <w:r>
        <w:t xml:space="preserve">Victim statements concerning home visits/collections from senior citizens.</w:t>
      </w:r>
    </w:p>
    <w:p>
      <w:pPr>
        <w:tabs>
          <w:tab w:val="left" w:pos="720"/>
        </w:tabs>
        <w:spacing w:before="0" w:after="80"/>
        <w:ind w:left="720" w:hanging="360"/>
        <w:jc w:val="both"/>
      </w:pPr>
      <w:r>
        <w:t xml:space="preserve">20.	</w:t>
      </w:r>
      <w:r>
        <w:t xml:space="preserve">Any further material produced by similarly situated investors.</w:t>
      </w:r>
    </w:p>
    <w:p>
      <w:pPr>
        <w:spacing w:before="240" w:after="120"/>
        <w:keepNext/>
      </w:pPr>
      <w:r>
        <w:rPr>
          <w:b/>
          <w:u w:val="single"/>
        </w:rPr>
        <w:t xml:space="preserve">COPIES SUBMITTED FOR INFORMATION AND NECESSARY ACTION TO</w:t>
      </w:r>
    </w:p>
    <w:p>
      <w:pPr>
        <w:tabs>
          <w:tab w:val="left" w:pos="720"/>
        </w:tabs>
        <w:spacing w:before="0" w:after="80"/>
        <w:ind w:left="720" w:hanging="360"/>
        <w:jc w:val="both"/>
      </w:pPr>
      <w:r>
        <w:t xml:space="preserve">1.	</w:t>
      </w:r>
      <w:r>
        <w:t xml:space="preserve">The Commissioner of Police, Hyderabad City, Telangana.</w:t>
      </w:r>
    </w:p>
    <w:p>
      <w:pPr>
        <w:tabs>
          <w:tab w:val="left" w:pos="720"/>
        </w:tabs>
        <w:spacing w:before="0" w:after="80"/>
        <w:ind w:left="720" w:hanging="360"/>
        <w:jc w:val="both"/>
      </w:pPr>
      <w:r>
        <w:t xml:space="preserve">2.	</w:t>
      </w:r>
      <w:r>
        <w:t xml:space="preserve">The Commissioner of Police, Cyberabad Commissionerate, Telangana.</w:t>
      </w:r>
    </w:p>
    <w:p>
      <w:pPr>
        <w:tabs>
          <w:tab w:val="left" w:pos="720"/>
        </w:tabs>
        <w:spacing w:before="0" w:after="80"/>
        <w:ind w:left="720" w:hanging="360"/>
        <w:jc w:val="both"/>
      </w:pPr>
      <w:r>
        <w:t xml:space="preserve">3.	</w:t>
      </w:r>
      <w:r>
        <w:t xml:space="preserve">The Director General of Police, Telangana State.</w:t>
      </w:r>
    </w:p>
    <w:p>
      <w:pPr>
        <w:tabs>
          <w:tab w:val="left" w:pos="720"/>
        </w:tabs>
        <w:spacing w:before="0" w:after="80"/>
        <w:ind w:left="720" w:hanging="360"/>
        <w:jc w:val="both"/>
      </w:pPr>
      <w:r>
        <w:t xml:space="preserve">4.	</w:t>
      </w:r>
      <w:r>
        <w:t xml:space="preserve">The Director General of Police, Andhra Pradesh.</w:t>
      </w:r>
    </w:p>
    <w:p>
      <w:pPr>
        <w:tabs>
          <w:tab w:val="left" w:pos="720"/>
        </w:tabs>
        <w:spacing w:before="0" w:after="80"/>
        <w:ind w:left="720" w:hanging="360"/>
        <w:jc w:val="both"/>
      </w:pPr>
      <w:r>
        <w:t xml:space="preserve">5.	</w:t>
      </w:r>
      <w:r>
        <w:t xml:space="preserve">The Station House Officer, Mylardevpally Police Station, Hyderabad/Cyberabad, as jurisdictionally applicable.</w:t>
      </w:r>
    </w:p>
    <w:p>
      <w:pPr>
        <w:tabs>
          <w:tab w:val="left" w:pos="720"/>
        </w:tabs>
        <w:spacing w:before="0" w:after="80"/>
        <w:ind w:left="720" w:hanging="360"/>
        <w:jc w:val="both"/>
      </w:pPr>
      <w:r>
        <w:t xml:space="preserve">6.	</w:t>
      </w:r>
      <w:r>
        <w:t xml:space="preserve">The Station House Officer, Amberpet Police Station, Hyderabad.</w:t>
      </w:r>
    </w:p>
    <w:p>
      <w:pPr>
        <w:tabs>
          <w:tab w:val="left" w:pos="720"/>
        </w:tabs>
        <w:spacing w:before="0" w:after="80"/>
        <w:ind w:left="720" w:hanging="360"/>
        <w:jc w:val="both"/>
      </w:pPr>
      <w:r>
        <w:t xml:space="preserve">7.	</w:t>
      </w:r>
      <w:r>
        <w:t xml:space="preserve">The Directorate of Enforcement, Government of India, Hyderabad Zonal Office — for examination under the Prevention of Money Laundering Act, 2002, if scheduled offences/proceeds of crime are disclosed by the predicate investigation.</w:t>
      </w:r>
    </w:p>
    <w:p>
      <w:pPr>
        <w:tabs>
          <w:tab w:val="left" w:pos="720"/>
        </w:tabs>
        <w:spacing w:before="0" w:after="80"/>
        <w:ind w:left="720" w:hanging="360"/>
        <w:jc w:val="both"/>
      </w:pPr>
      <w:r>
        <w:t xml:space="preserve">8.	</w:t>
      </w:r>
      <w:r>
        <w:t xml:space="preserve">Registrar of Companies / Ministry of Corporate Affairs — for examination of company-law violations, deposits, debentures, preference shares, private placements, statutory filings and fraud-related provisions.</w:t>
      </w:r>
    </w:p>
    <w:p>
      <w:pPr>
        <w:tabs>
          <w:tab w:val="left" w:pos="720"/>
        </w:tabs>
        <w:spacing w:before="0" w:after="80"/>
        <w:ind w:left="720" w:hanging="360"/>
        <w:jc w:val="both"/>
      </w:pPr>
      <w:r>
        <w:t xml:space="preserve">9.	</w:t>
      </w:r>
      <w:r>
        <w:t xml:space="preserve">Competent Authority under the Telangana Protection of Depositors of Financial Establishments Act, 1999 — for appropriate attachment/protection/recovery action.</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en-IN"/>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